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德保县人民检察院</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2025</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德保县人民检察院</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黑体" w:hAnsi="黑体" w:eastAsia="黑体" w:cs="仿宋_GB2312"/>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德保县人民检察院 2025</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r>
        <w:rPr>
          <w:rFonts w:hint="eastAsia" w:ascii="黑体" w:hAnsi="黑体" w:eastAsia="黑体" w:cs="仿宋_GB2312"/>
          <w:sz w:val="32"/>
          <w:szCs w:val="32"/>
        </w:rPr>
        <w:t xml:space="preserve">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德保县人民检察院 2025</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德保县人民检察院</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keepNext w:val="0"/>
        <w:keepLines w:val="0"/>
        <w:pageBreakBefore w:val="0"/>
        <w:widowControl w:val="0"/>
        <w:kinsoku/>
        <w:wordWrap/>
        <w:overflowPunct/>
        <w:topLinePunct w:val="0"/>
        <w:autoSpaceDE/>
        <w:autoSpaceDN/>
        <w:bidi w:val="0"/>
        <w:adjustRightInd w:val="0"/>
        <w:snapToGrid/>
        <w:ind w:firstLine="600" w:firstLineChars="200"/>
        <w:textAlignment w:val="auto"/>
        <w:rPr>
          <w:rFonts w:hint="eastAsia" w:ascii="仿宋_GB2312" w:hAnsi="仿宋_GB2312" w:eastAsia="仿宋_GB2312" w:cs="仿宋_GB2312"/>
          <w:sz w:val="32"/>
          <w:szCs w:val="32"/>
        </w:rPr>
      </w:pPr>
      <w:bookmarkStart w:id="5" w:name="PO_part1Responsibilities"/>
      <w:r>
        <w:rPr>
          <w:rFonts w:hint="eastAsia" w:ascii="仿宋_GB2312" w:eastAsia="仿宋_GB2312"/>
          <w:sz w:val="30"/>
          <w:szCs w:val="30"/>
        </w:rPr>
        <w:t>（一）依法向德保县人民代表大会及其常务委员会提出议案。</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（二）贯彻执行上级人民检察院工作方针，落实检察工作任务，接受相关业务指导。</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（三）负责应由德保县人民检察院管辖的刑事犯罪案件的审查批准逮捕、决定逮捕、提起公诉工作。</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（四）负责应由德保县人民检察院承办的刑事、民事、行政诉讼活动及刑事、民事、行政判决和裁定等生效法律文书执行的法律监督工作。</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（五）负责应由德保县人民检察院承办的提起公益诉讼工作。</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w:t>
      </w:r>
      <w:r>
        <w:rPr>
          <w:rFonts w:hint="eastAsia" w:ascii="仿宋_GB2312" w:eastAsia="仿宋_GB2312"/>
          <w:sz w:val="30"/>
          <w:szCs w:val="30"/>
          <w:lang w:eastAsia="zh-CN"/>
        </w:rPr>
        <w:t>六</w:t>
      </w:r>
      <w:r>
        <w:rPr>
          <w:rFonts w:hint="eastAsia" w:ascii="仿宋_GB2312" w:eastAsia="仿宋_GB2312"/>
          <w:sz w:val="30"/>
          <w:szCs w:val="30"/>
        </w:rPr>
        <w:t>）负责应由德保县人民检察院承办的对看守所和社区矫正机构等执法活动的法律监督工作。</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（七）受理向德保县人民检察院的控告申诉。</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bookmarkStart w:id="88" w:name="_GoBack"/>
      <w:bookmarkEnd w:id="88"/>
      <w:r>
        <w:rPr>
          <w:rFonts w:hint="eastAsia" w:ascii="仿宋_GB2312" w:eastAsia="仿宋_GB2312"/>
          <w:sz w:val="30"/>
          <w:szCs w:val="30"/>
        </w:rPr>
        <w:t>（八）组织开展检察理论研究工作。</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（九）负责其他应当由德保县人民检察院承办的事项</w:t>
      </w:r>
      <w:r>
        <w:rPr>
          <w:rFonts w:hint="eastAsia" w:ascii="仿宋_GB2312" w:eastAsia="仿宋_GB2312"/>
          <w:sz w:val="30"/>
          <w:szCs w:val="30"/>
          <w:lang w:eastAsia="zh-CN"/>
        </w:rPr>
        <w:t>。</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keepNext w:val="0"/>
        <w:keepLines w:val="0"/>
        <w:pageBreakBefore w:val="0"/>
        <w:widowControl w:val="0"/>
        <w:kinsoku/>
        <w:wordWrap/>
        <w:overflowPunct/>
        <w:topLinePunct w:val="0"/>
        <w:autoSpaceDE/>
        <w:autoSpaceDN/>
        <w:bidi w:val="0"/>
        <w:adjustRightInd w:val="0"/>
        <w:snapToGrid/>
        <w:ind w:firstLine="600" w:firstLineChars="200"/>
        <w:textAlignment w:val="auto"/>
        <w:outlineLvl w:val="9"/>
        <w:rPr>
          <w:rFonts w:hint="eastAsia" w:ascii="仿宋_GB2312" w:hAnsi="仿宋_GB2312" w:eastAsia="仿宋_GB2312" w:cs="仿宋_GB2312"/>
          <w:sz w:val="30"/>
          <w:szCs w:val="30"/>
        </w:rPr>
      </w:pPr>
      <w:bookmarkStart w:id="6" w:name="PO_part2Organization"/>
      <w:r>
        <w:rPr>
          <w:rFonts w:hint="eastAsia" w:ascii="仿宋_GB2312" w:hAnsi="仿宋_GB2312" w:eastAsia="仿宋_GB2312" w:cs="仿宋_GB2312"/>
          <w:sz w:val="30"/>
          <w:szCs w:val="30"/>
        </w:rPr>
        <w:t>（一）部门内设机构（处室）情况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德保县人民检察院内设5个机构和4个派出机构，即：第一检察部、第二检察部、第三检察部、办公室、政治部、派驻德保县看守所检察室、派驻足荣检察室、派驻马隘检察室、派驻燕峒检察室。</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（二）部门所属单位情况：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2025年纳入编报预算范围的直属单位共有1个，属于行政单位，是百色市人民检察院下属单位</w:t>
      </w:r>
      <w:r>
        <w:rPr>
          <w:rFonts w:hint="eastAsia" w:ascii="仿宋_GB2312" w:hAnsi="仿宋_GB2312" w:eastAsia="仿宋_GB2312" w:cs="仿宋_GB2312"/>
          <w:sz w:val="30"/>
          <w:szCs w:val="30"/>
          <w:lang w:eastAsia="zh-CN"/>
        </w:rPr>
        <w:t>。</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本部门无下属单位，部门预算为院本级预算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center"/>
        <w:outlineLvl w:val="0"/>
        <w:rPr>
          <w:rFonts w:hint="eastAsia"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德保县人民检察院 2025</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年部门预算表</w:t>
      </w:r>
    </w:p>
    <w:p>
      <w:pPr>
        <w:jc w:val="left"/>
        <w:rPr>
          <w:rFonts w:hint="eastAsia"/>
        </w:rPr>
      </w:pPr>
      <w:bookmarkStart w:id="9" w:name="PO_part2Table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708.04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145.64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c>
          <w:tcPr>
            <w:tcW w:w="3544" w:type="dxa"/>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973.77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cs="宋体"/>
                <w:color w:val="000000"/>
                <w:sz w:val="18"/>
                <w:szCs w:val="18"/>
              </w:rPr>
            </w:pPr>
          </w:p>
        </w:tc>
        <w:tc>
          <w:tcPr>
            <w:tcW w:w="3543" w:type="dxa"/>
            <w:noWrap w:val="0"/>
            <w:vAlign w:val="center"/>
          </w:tcPr>
          <w:p>
            <w:pPr>
              <w:jc w:val="right"/>
              <w:rPr>
                <w:rFonts w:hint="eastAsia" w:ascii="宋体" w:hAnsi="宋体" w:cs="宋体"/>
                <w:color w:val="000000"/>
                <w:sz w:val="18"/>
                <w:szCs w:val="18"/>
              </w:rPr>
            </w:pPr>
          </w:p>
        </w:tc>
        <w:tc>
          <w:tcPr>
            <w:tcW w:w="3544" w:type="dxa"/>
            <w:noWrap w:val="0"/>
            <w:vAlign w:val="center"/>
          </w:tcPr>
          <w:p>
            <w:pPr>
              <w:widowControl/>
              <w:jc w:val="center"/>
              <w:textAlignment w:val="center"/>
              <w:rPr>
                <w:rFonts w:hint="eastAsia" w:ascii="宋体" w:hAnsi="宋体" w:cs="宋体"/>
                <w:color w:val="000000"/>
                <w:sz w:val="18"/>
                <w:szCs w:val="18"/>
              </w:rPr>
            </w:pPr>
          </w:p>
        </w:tc>
        <w:tc>
          <w:tcPr>
            <w:tcW w:w="3544" w:type="dxa"/>
            <w:noWrap w:val="0"/>
            <w:vAlign w:val="center"/>
          </w:tcPr>
          <w:p>
            <w:pPr>
              <w:jc w:val="right"/>
              <w:rPr>
                <w:rFonts w:hint="eastAsia" w:ascii="宋体" w:hAnsi="宋体" w:cs="宋体"/>
                <w:color w:val="000000"/>
                <w:sz w:val="18"/>
                <w:szCs w:val="18"/>
              </w:rPr>
            </w:pPr>
          </w:p>
        </w:tc>
      </w:tr>
      <w:bookmarkEnd w:id="9"/>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noWrap w:val="0"/>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noWrap w:val="0"/>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noWrap w:val="0"/>
            <w:vAlign w:val="center"/>
          </w:tcPr>
          <w:p>
            <w:pPr>
              <w:jc w:val="center"/>
              <w:rPr>
                <w:rFonts w:hint="eastAsia" w:ascii="宋体" w:hAnsi="宋体"/>
                <w:color w:val="000000"/>
                <w:kern w:val="0"/>
                <w:sz w:val="18"/>
                <w:szCs w:val="18"/>
              </w:rPr>
            </w:pP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noWrap w:val="0"/>
            <w:vAlign w:val="center"/>
          </w:tcPr>
          <w:p>
            <w:pPr>
              <w:jc w:val="center"/>
              <w:rPr>
                <w:rFonts w:hint="eastAsia" w:ascii="宋体" w:hAnsi="宋体"/>
                <w:color w:val="000000"/>
                <w:kern w:val="0"/>
                <w:sz w:val="18"/>
                <w:szCs w:val="18"/>
              </w:rPr>
            </w:pPr>
          </w:p>
        </w:tc>
        <w:tc>
          <w:tcPr>
            <w:tcW w:w="1171" w:type="dxa"/>
            <w:vMerge w:val="continue"/>
            <w:noWrap w:val="0"/>
            <w:vAlign w:val="center"/>
          </w:tcPr>
          <w:p>
            <w:pPr>
              <w:jc w:val="center"/>
              <w:rPr>
                <w:rFonts w:hint="eastAsia" w:ascii="宋体" w:hAnsi="宋体"/>
                <w:color w:val="000000"/>
                <w:kern w:val="0"/>
                <w:sz w:val="18"/>
                <w:szCs w:val="18"/>
              </w:rPr>
            </w:pPr>
          </w:p>
        </w:tc>
        <w:tc>
          <w:tcPr>
            <w:tcW w:w="1138" w:type="dxa"/>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112</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广西壮族自治区百色市人民检察院</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112006</w:t>
            </w:r>
          </w:p>
        </w:tc>
        <w:tc>
          <w:tcPr>
            <w:tcW w:w="1171"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德保县人民检察院</w:t>
            </w:r>
          </w:p>
        </w:tc>
        <w:tc>
          <w:tcPr>
            <w:tcW w:w="1138"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965"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1009" w:type="dxa"/>
            <w:noWrap w:val="0"/>
            <w:vAlign w:val="center"/>
          </w:tcPr>
          <w:p>
            <w:pPr>
              <w:widowControl/>
              <w:jc w:val="right"/>
              <w:textAlignment w:val="center"/>
              <w:rPr>
                <w:rFonts w:hint="eastAsia" w:ascii="宋体" w:hAnsi="宋体"/>
                <w:color w:val="000000"/>
                <w:sz w:val="18"/>
                <w:szCs w:val="18"/>
              </w:rPr>
            </w:pPr>
          </w:p>
        </w:tc>
        <w:tc>
          <w:tcPr>
            <w:tcW w:w="965" w:type="dxa"/>
            <w:noWrap w:val="0"/>
            <w:vAlign w:val="center"/>
          </w:tcPr>
          <w:p>
            <w:pPr>
              <w:widowControl/>
              <w:jc w:val="right"/>
              <w:textAlignment w:val="center"/>
              <w:rPr>
                <w:rFonts w:hint="eastAsia" w:ascii="宋体" w:hAnsi="宋体"/>
                <w:color w:val="000000"/>
                <w:sz w:val="18"/>
                <w:szCs w:val="18"/>
              </w:rPr>
            </w:pPr>
          </w:p>
        </w:tc>
        <w:tc>
          <w:tcPr>
            <w:tcW w:w="940" w:type="dxa"/>
            <w:noWrap w:val="0"/>
            <w:vAlign w:val="center"/>
          </w:tcPr>
          <w:p>
            <w:pPr>
              <w:widowControl/>
              <w:jc w:val="right"/>
              <w:textAlignment w:val="center"/>
              <w:rPr>
                <w:rFonts w:hint="eastAsia" w:ascii="宋体" w:hAnsi="宋体"/>
                <w:color w:val="000000"/>
                <w:sz w:val="18"/>
                <w:szCs w:val="18"/>
              </w:rPr>
            </w:pPr>
          </w:p>
        </w:tc>
        <w:tc>
          <w:tcPr>
            <w:tcW w:w="971" w:type="dxa"/>
            <w:gridSpan w:val="2"/>
            <w:noWrap w:val="0"/>
            <w:vAlign w:val="center"/>
          </w:tcPr>
          <w:p>
            <w:pPr>
              <w:jc w:val="right"/>
              <w:rPr>
                <w:rFonts w:hint="eastAsia" w:ascii="宋体" w:hAnsi="宋体"/>
                <w:color w:val="000000"/>
                <w:sz w:val="18"/>
                <w:szCs w:val="18"/>
              </w:rPr>
            </w:pPr>
          </w:p>
        </w:tc>
        <w:tc>
          <w:tcPr>
            <w:tcW w:w="1008" w:type="dxa"/>
            <w:noWrap w:val="0"/>
            <w:vAlign w:val="center"/>
          </w:tcPr>
          <w:p>
            <w:pPr>
              <w:jc w:val="right"/>
              <w:rPr>
                <w:rFonts w:hint="eastAsia" w:ascii="宋体" w:hAnsi="宋体"/>
                <w:color w:val="000000"/>
                <w:sz w:val="18"/>
                <w:szCs w:val="18"/>
              </w:rPr>
            </w:pPr>
          </w:p>
        </w:tc>
        <w:tc>
          <w:tcPr>
            <w:tcW w:w="969" w:type="dxa"/>
            <w:noWrap w:val="0"/>
            <w:vAlign w:val="center"/>
          </w:tcPr>
          <w:p>
            <w:pPr>
              <w:jc w:val="right"/>
              <w:rPr>
                <w:rFonts w:hint="eastAsia" w:ascii="宋体" w:hAnsi="宋体"/>
                <w:color w:val="000000"/>
                <w:sz w:val="18"/>
                <w:szCs w:val="18"/>
              </w:rPr>
            </w:pPr>
          </w:p>
        </w:tc>
        <w:tc>
          <w:tcPr>
            <w:tcW w:w="967" w:type="dxa"/>
            <w:noWrap w:val="0"/>
            <w:vAlign w:val="center"/>
          </w:tcPr>
          <w:p>
            <w:pPr>
              <w:widowControl/>
              <w:jc w:val="right"/>
              <w:textAlignment w:val="center"/>
              <w:rPr>
                <w:rFonts w:hint="eastAsia" w:ascii="宋体" w:hAnsi="宋体"/>
                <w:color w:val="000000"/>
                <w:sz w:val="18"/>
                <w:szCs w:val="18"/>
              </w:rPr>
            </w:pPr>
          </w:p>
        </w:tc>
        <w:tc>
          <w:tcPr>
            <w:tcW w:w="1057" w:type="dxa"/>
            <w:noWrap w:val="0"/>
            <w:vAlign w:val="center"/>
          </w:tcPr>
          <w:p>
            <w:pPr>
              <w:widowControl/>
              <w:jc w:val="right"/>
              <w:textAlignment w:val="center"/>
              <w:rPr>
                <w:rFonts w:hint="eastAsia" w:ascii="宋体" w:hAnsi="宋体"/>
                <w:color w:val="000000"/>
                <w:sz w:val="18"/>
                <w:szCs w:val="18"/>
              </w:rPr>
            </w:pPr>
          </w:p>
        </w:tc>
        <w:tc>
          <w:tcPr>
            <w:tcW w:w="985" w:type="dxa"/>
            <w:noWrap w:val="0"/>
            <w:vAlign w:val="center"/>
          </w:tcPr>
          <w:p>
            <w:pPr>
              <w:widowControl/>
              <w:jc w:val="right"/>
              <w:textAlignment w:val="center"/>
              <w:rPr>
                <w:rFonts w:hint="eastAsia" w:ascii="宋体" w:hAnsi="宋体"/>
                <w:color w:val="000000"/>
                <w:sz w:val="18"/>
                <w:szCs w:val="18"/>
              </w:rPr>
            </w:pPr>
          </w:p>
        </w:tc>
        <w:tc>
          <w:tcPr>
            <w:tcW w:w="1023" w:type="dxa"/>
            <w:noWrap w:val="0"/>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noWrap w:val="0"/>
            <w:vAlign w:val="center"/>
          </w:tcPr>
          <w:p>
            <w:pPr>
              <w:widowControl/>
              <w:jc w:val="left"/>
              <w:textAlignment w:val="center"/>
              <w:rPr>
                <w:rFonts w:ascii="宋体" w:hAnsi="宋体"/>
                <w:color w:val="000000"/>
                <w:kern w:val="0"/>
                <w:sz w:val="18"/>
                <w:szCs w:val="18"/>
              </w:rPr>
            </w:pPr>
          </w:p>
        </w:tc>
        <w:tc>
          <w:tcPr>
            <w:tcW w:w="1171" w:type="dxa"/>
            <w:noWrap w:val="0"/>
            <w:vAlign w:val="center"/>
          </w:tcPr>
          <w:p>
            <w:pPr>
              <w:widowControl/>
              <w:jc w:val="left"/>
              <w:textAlignment w:val="center"/>
              <w:rPr>
                <w:rFonts w:ascii="宋体" w:hAnsi="宋体"/>
                <w:color w:val="000000"/>
                <w:kern w:val="0"/>
                <w:sz w:val="18"/>
                <w:szCs w:val="18"/>
              </w:rPr>
            </w:pPr>
          </w:p>
        </w:tc>
        <w:tc>
          <w:tcPr>
            <w:tcW w:w="1138" w:type="dxa"/>
            <w:noWrap w:val="0"/>
            <w:vAlign w:val="center"/>
          </w:tcPr>
          <w:p>
            <w:pPr>
              <w:widowControl/>
              <w:jc w:val="right"/>
              <w:textAlignment w:val="center"/>
              <w:rPr>
                <w:rFonts w:ascii="宋体" w:hAnsi="宋体"/>
                <w:color w:val="000000"/>
                <w:kern w:val="0"/>
                <w:sz w:val="18"/>
                <w:szCs w:val="18"/>
              </w:rPr>
            </w:pPr>
          </w:p>
        </w:tc>
        <w:tc>
          <w:tcPr>
            <w:tcW w:w="969" w:type="dxa"/>
            <w:noWrap w:val="0"/>
            <w:vAlign w:val="center"/>
          </w:tcPr>
          <w:p>
            <w:pPr>
              <w:widowControl/>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1009" w:type="dxa"/>
            <w:noWrap w:val="0"/>
            <w:vAlign w:val="center"/>
          </w:tcPr>
          <w:p>
            <w:pPr>
              <w:widowControl/>
              <w:tabs>
                <w:tab w:val="left" w:pos="560"/>
              </w:tabs>
              <w:jc w:val="right"/>
              <w:textAlignment w:val="center"/>
              <w:rPr>
                <w:rFonts w:ascii="宋体" w:hAnsi="宋体"/>
                <w:color w:val="000000"/>
                <w:kern w:val="0"/>
                <w:sz w:val="18"/>
                <w:szCs w:val="18"/>
              </w:rPr>
            </w:pPr>
          </w:p>
        </w:tc>
        <w:tc>
          <w:tcPr>
            <w:tcW w:w="965" w:type="dxa"/>
            <w:noWrap w:val="0"/>
            <w:vAlign w:val="center"/>
          </w:tcPr>
          <w:p>
            <w:pPr>
              <w:widowControl/>
              <w:jc w:val="right"/>
              <w:textAlignment w:val="center"/>
              <w:rPr>
                <w:rFonts w:ascii="宋体" w:hAnsi="宋体"/>
                <w:color w:val="000000"/>
                <w:kern w:val="0"/>
                <w:sz w:val="18"/>
                <w:szCs w:val="18"/>
              </w:rPr>
            </w:pPr>
          </w:p>
        </w:tc>
        <w:tc>
          <w:tcPr>
            <w:tcW w:w="940" w:type="dxa"/>
            <w:noWrap w:val="0"/>
            <w:vAlign w:val="center"/>
          </w:tcPr>
          <w:p>
            <w:pPr>
              <w:widowControl/>
              <w:tabs>
                <w:tab w:val="left" w:pos="560"/>
              </w:tabs>
              <w:jc w:val="right"/>
              <w:textAlignment w:val="center"/>
              <w:rPr>
                <w:rFonts w:ascii="宋体" w:hAnsi="宋体"/>
                <w:color w:val="000000"/>
                <w:kern w:val="0"/>
                <w:sz w:val="18"/>
                <w:szCs w:val="18"/>
              </w:rPr>
            </w:pPr>
          </w:p>
        </w:tc>
        <w:tc>
          <w:tcPr>
            <w:tcW w:w="971" w:type="dxa"/>
            <w:gridSpan w:val="2"/>
            <w:noWrap w:val="0"/>
            <w:vAlign w:val="center"/>
          </w:tcPr>
          <w:p>
            <w:pPr>
              <w:widowControl/>
              <w:tabs>
                <w:tab w:val="left" w:pos="560"/>
              </w:tabs>
              <w:jc w:val="right"/>
              <w:textAlignment w:val="center"/>
              <w:rPr>
                <w:rFonts w:ascii="宋体" w:hAnsi="宋体"/>
                <w:color w:val="000000"/>
                <w:kern w:val="0"/>
                <w:sz w:val="18"/>
                <w:szCs w:val="18"/>
              </w:rPr>
            </w:pPr>
          </w:p>
        </w:tc>
        <w:tc>
          <w:tcPr>
            <w:tcW w:w="1008" w:type="dxa"/>
            <w:noWrap w:val="0"/>
            <w:vAlign w:val="center"/>
          </w:tcPr>
          <w:p>
            <w:pPr>
              <w:widowControl/>
              <w:tabs>
                <w:tab w:val="left" w:pos="560"/>
              </w:tabs>
              <w:jc w:val="right"/>
              <w:textAlignment w:val="center"/>
              <w:rPr>
                <w:rFonts w:ascii="宋体" w:hAnsi="宋体"/>
                <w:color w:val="000000"/>
                <w:kern w:val="0"/>
                <w:sz w:val="18"/>
                <w:szCs w:val="18"/>
              </w:rPr>
            </w:pPr>
          </w:p>
        </w:tc>
        <w:tc>
          <w:tcPr>
            <w:tcW w:w="969" w:type="dxa"/>
            <w:noWrap w:val="0"/>
            <w:vAlign w:val="center"/>
          </w:tcPr>
          <w:p>
            <w:pPr>
              <w:widowControl/>
              <w:tabs>
                <w:tab w:val="left" w:pos="560"/>
              </w:tabs>
              <w:jc w:val="right"/>
              <w:textAlignment w:val="center"/>
              <w:rPr>
                <w:rFonts w:ascii="宋体" w:hAnsi="宋体"/>
                <w:color w:val="000000"/>
                <w:kern w:val="0"/>
                <w:sz w:val="18"/>
                <w:szCs w:val="18"/>
              </w:rPr>
            </w:pPr>
          </w:p>
        </w:tc>
        <w:tc>
          <w:tcPr>
            <w:tcW w:w="967" w:type="dxa"/>
            <w:noWrap w:val="0"/>
            <w:vAlign w:val="center"/>
          </w:tcPr>
          <w:p>
            <w:pPr>
              <w:widowControl/>
              <w:tabs>
                <w:tab w:val="left" w:pos="560"/>
              </w:tabs>
              <w:jc w:val="right"/>
              <w:textAlignment w:val="center"/>
              <w:rPr>
                <w:rFonts w:ascii="宋体" w:hAnsi="宋体"/>
                <w:color w:val="000000"/>
                <w:kern w:val="0"/>
                <w:sz w:val="18"/>
                <w:szCs w:val="18"/>
              </w:rPr>
            </w:pPr>
          </w:p>
        </w:tc>
        <w:tc>
          <w:tcPr>
            <w:tcW w:w="1057" w:type="dxa"/>
            <w:noWrap w:val="0"/>
            <w:vAlign w:val="center"/>
          </w:tcPr>
          <w:p>
            <w:pPr>
              <w:widowControl/>
              <w:tabs>
                <w:tab w:val="left" w:pos="560"/>
              </w:tabs>
              <w:jc w:val="right"/>
              <w:textAlignment w:val="center"/>
              <w:rPr>
                <w:rFonts w:ascii="宋体" w:hAnsi="宋体"/>
                <w:color w:val="000000"/>
                <w:kern w:val="0"/>
                <w:sz w:val="18"/>
                <w:szCs w:val="18"/>
              </w:rPr>
            </w:pPr>
          </w:p>
        </w:tc>
        <w:tc>
          <w:tcPr>
            <w:tcW w:w="985" w:type="dxa"/>
            <w:noWrap w:val="0"/>
            <w:vAlign w:val="center"/>
          </w:tcPr>
          <w:p>
            <w:pPr>
              <w:widowControl/>
              <w:tabs>
                <w:tab w:val="left" w:pos="560"/>
              </w:tabs>
              <w:jc w:val="right"/>
              <w:textAlignment w:val="center"/>
              <w:rPr>
                <w:rFonts w:ascii="宋体" w:hAnsi="宋体"/>
                <w:color w:val="000000"/>
                <w:kern w:val="0"/>
                <w:sz w:val="18"/>
                <w:szCs w:val="18"/>
              </w:rPr>
            </w:pPr>
          </w:p>
        </w:tc>
        <w:tc>
          <w:tcPr>
            <w:tcW w:w="1023" w:type="dxa"/>
            <w:noWrap w:val="0"/>
            <w:vAlign w:val="center"/>
          </w:tcPr>
          <w:p>
            <w:pPr>
              <w:widowControl/>
              <w:tabs>
                <w:tab w:val="left" w:pos="560"/>
              </w:tabs>
              <w:jc w:val="right"/>
              <w:textAlignment w:val="center"/>
              <w:rPr>
                <w:rFonts w:ascii="宋体" w:hAnsi="宋体"/>
                <w:color w:val="000000"/>
                <w:kern w:val="0"/>
                <w:sz w:val="18"/>
                <w:szCs w:val="18"/>
              </w:rPr>
            </w:pPr>
          </w:p>
        </w:tc>
      </w:tr>
      <w:bookmarkEnd w:id="1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5"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noWrap w:val="0"/>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noWrap w:val="0"/>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noWrap w:val="0"/>
            <w:vAlign w:val="center"/>
          </w:tcPr>
          <w:p>
            <w:pPr>
              <w:widowControl/>
              <w:jc w:val="center"/>
              <w:textAlignment w:val="center"/>
              <w:rPr>
                <w:rFonts w:hint="eastAsia" w:ascii="宋体" w:hAnsi="宋体"/>
                <w:color w:val="000000"/>
                <w:kern w:val="0"/>
                <w:sz w:val="18"/>
                <w:szCs w:val="18"/>
              </w:rPr>
            </w:pPr>
          </w:p>
        </w:tc>
        <w:tc>
          <w:tcPr>
            <w:tcW w:w="2175" w:type="dxa"/>
            <w:vMerge w:val="continue"/>
            <w:noWrap w:val="0"/>
            <w:vAlign w:val="center"/>
          </w:tcPr>
          <w:p>
            <w:pPr>
              <w:widowControl/>
              <w:jc w:val="center"/>
              <w:textAlignment w:val="center"/>
              <w:rPr>
                <w:rFonts w:hint="eastAsia" w:ascii="宋体" w:hAnsi="宋体"/>
                <w:color w:val="000000"/>
                <w:sz w:val="18"/>
                <w:szCs w:val="18"/>
              </w:rPr>
            </w:pPr>
          </w:p>
        </w:tc>
        <w:tc>
          <w:tcPr>
            <w:tcW w:w="2191" w:type="dxa"/>
            <w:vMerge w:val="continue"/>
            <w:noWrap w:val="0"/>
            <w:vAlign w:val="center"/>
          </w:tcPr>
          <w:p>
            <w:pPr>
              <w:widowControl/>
              <w:jc w:val="center"/>
              <w:textAlignment w:val="center"/>
              <w:rPr>
                <w:rFonts w:hint="eastAsia" w:ascii="宋体" w:hAnsi="宋体"/>
                <w:color w:val="000000"/>
                <w:sz w:val="18"/>
                <w:szCs w:val="18"/>
              </w:rPr>
            </w:pPr>
          </w:p>
        </w:tc>
        <w:tc>
          <w:tcPr>
            <w:tcW w:w="1364" w:type="dxa"/>
            <w:vMerge w:val="continue"/>
            <w:noWrap w:val="0"/>
            <w:vAlign w:val="center"/>
          </w:tcPr>
          <w:p>
            <w:pPr>
              <w:widowControl/>
              <w:jc w:val="center"/>
              <w:textAlignment w:val="center"/>
              <w:rPr>
                <w:rFonts w:hint="eastAsia" w:ascii="宋体" w:hAnsi="宋体"/>
                <w:color w:val="000000"/>
                <w:kern w:val="0"/>
                <w:sz w:val="18"/>
                <w:szCs w:val="18"/>
              </w:rPr>
            </w:pPr>
          </w:p>
        </w:tc>
        <w:tc>
          <w:tcPr>
            <w:tcW w:w="940" w:type="dxa"/>
            <w:vMerge w:val="continue"/>
            <w:noWrap w:val="0"/>
            <w:vAlign w:val="center"/>
          </w:tcPr>
          <w:p>
            <w:pPr>
              <w:widowControl/>
              <w:jc w:val="center"/>
              <w:textAlignment w:val="center"/>
              <w:rPr>
                <w:rFonts w:hint="eastAsia" w:ascii="宋体" w:hAnsi="宋体"/>
                <w:color w:val="000000"/>
                <w:kern w:val="0"/>
                <w:sz w:val="18"/>
                <w:szCs w:val="18"/>
              </w:rPr>
            </w:pPr>
          </w:p>
        </w:tc>
        <w:tc>
          <w:tcPr>
            <w:tcW w:w="1255" w:type="dxa"/>
            <w:vMerge w:val="continue"/>
            <w:noWrap w:val="0"/>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noWrap w:val="0"/>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noWrap w:val="0"/>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noWrap w:val="0"/>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noWrap w:val="0"/>
            <w:vAlign w:val="center"/>
          </w:tcPr>
          <w:p>
            <w:pPr>
              <w:jc w:val="right"/>
              <w:rPr>
                <w:sz w:val="18"/>
                <w:szCs w:val="18"/>
              </w:rPr>
            </w:pPr>
            <w:r>
              <w:rPr>
                <w:rFonts w:hint="eastAsia" w:ascii="宋体" w:hAnsi="宋体"/>
                <w:color w:val="000000"/>
                <w:sz w:val="18"/>
                <w:szCs w:val="18"/>
              </w:rPr>
              <w:t>973.77</w:t>
            </w:r>
          </w:p>
        </w:tc>
        <w:tc>
          <w:tcPr>
            <w:tcW w:w="940" w:type="dxa"/>
            <w:noWrap w:val="0"/>
            <w:vAlign w:val="center"/>
          </w:tcPr>
          <w:p>
            <w:pPr>
              <w:jc w:val="right"/>
              <w:rPr>
                <w:sz w:val="18"/>
                <w:szCs w:val="18"/>
              </w:rPr>
            </w:pPr>
            <w:r>
              <w:rPr>
                <w:rFonts w:hint="eastAsia" w:ascii="宋体" w:hAnsi="宋体"/>
                <w:color w:val="000000"/>
                <w:sz w:val="18"/>
                <w:szCs w:val="18"/>
              </w:rPr>
              <w:t>898.77</w:t>
            </w:r>
          </w:p>
        </w:tc>
        <w:tc>
          <w:tcPr>
            <w:tcW w:w="1255" w:type="dxa"/>
            <w:noWrap w:val="0"/>
            <w:vAlign w:val="center"/>
          </w:tcPr>
          <w:p>
            <w:pPr>
              <w:jc w:val="right"/>
              <w:rPr>
                <w:sz w:val="18"/>
                <w:szCs w:val="18"/>
              </w:rPr>
            </w:pPr>
            <w:r>
              <w:rPr>
                <w:rFonts w:hint="eastAsia" w:ascii="宋体" w:hAnsi="宋体"/>
                <w:color w:val="000000"/>
                <w:sz w:val="18"/>
                <w:szCs w:val="18"/>
              </w:rPr>
              <w:t>75</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112</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广西壮族自治区百色市人民检察院</w:t>
            </w:r>
          </w:p>
        </w:tc>
        <w:tc>
          <w:tcPr>
            <w:tcW w:w="1364" w:type="dxa"/>
            <w:noWrap w:val="0"/>
            <w:vAlign w:val="center"/>
          </w:tcPr>
          <w:p>
            <w:pPr>
              <w:jc w:val="right"/>
              <w:rPr>
                <w:sz w:val="18"/>
                <w:szCs w:val="18"/>
              </w:rPr>
            </w:pPr>
            <w:r>
              <w:rPr>
                <w:rFonts w:hint="eastAsia" w:ascii="宋体" w:hAnsi="宋体"/>
                <w:color w:val="000000"/>
                <w:sz w:val="18"/>
                <w:szCs w:val="18"/>
              </w:rPr>
              <w:t>973.77</w:t>
            </w:r>
          </w:p>
        </w:tc>
        <w:tc>
          <w:tcPr>
            <w:tcW w:w="940" w:type="dxa"/>
            <w:noWrap w:val="0"/>
            <w:vAlign w:val="center"/>
          </w:tcPr>
          <w:p>
            <w:pPr>
              <w:jc w:val="right"/>
              <w:rPr>
                <w:sz w:val="18"/>
                <w:szCs w:val="18"/>
              </w:rPr>
            </w:pPr>
            <w:r>
              <w:rPr>
                <w:rFonts w:hint="eastAsia" w:ascii="宋体" w:hAnsi="宋体"/>
                <w:color w:val="000000"/>
                <w:sz w:val="18"/>
                <w:szCs w:val="18"/>
              </w:rPr>
              <w:t>898.77</w:t>
            </w:r>
          </w:p>
        </w:tc>
        <w:tc>
          <w:tcPr>
            <w:tcW w:w="1255" w:type="dxa"/>
            <w:noWrap w:val="0"/>
            <w:vAlign w:val="center"/>
          </w:tcPr>
          <w:p>
            <w:pPr>
              <w:jc w:val="right"/>
              <w:rPr>
                <w:sz w:val="18"/>
                <w:szCs w:val="18"/>
              </w:rPr>
            </w:pPr>
            <w:r>
              <w:rPr>
                <w:rFonts w:hint="eastAsia" w:ascii="宋体" w:hAnsi="宋体"/>
                <w:color w:val="000000"/>
                <w:sz w:val="18"/>
                <w:szCs w:val="18"/>
              </w:rPr>
              <w:t>75</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p>
        </w:tc>
        <w:tc>
          <w:tcPr>
            <w:tcW w:w="612" w:type="dxa"/>
            <w:gridSpan w:val="2"/>
            <w:noWrap w:val="0"/>
            <w:vAlign w:val="center"/>
          </w:tcPr>
          <w:p>
            <w:pPr>
              <w:widowControl/>
              <w:textAlignment w:val="center"/>
              <w:rPr>
                <w:rFonts w:hint="eastAsia" w:ascii="宋体" w:hAnsi="宋体"/>
                <w:color w:val="000000"/>
                <w:sz w:val="18"/>
                <w:szCs w:val="18"/>
              </w:rPr>
            </w:pPr>
          </w:p>
        </w:tc>
        <w:tc>
          <w:tcPr>
            <w:tcW w:w="620" w:type="dxa"/>
            <w:gridSpan w:val="2"/>
            <w:noWrap w:val="0"/>
            <w:vAlign w:val="center"/>
          </w:tcPr>
          <w:p>
            <w:pPr>
              <w:widowControl/>
              <w:textAlignment w:val="center"/>
              <w:rPr>
                <w:rFonts w:hint="eastAsia" w:ascii="宋体" w:hAnsi="宋体"/>
                <w:color w:val="000000"/>
                <w:sz w:val="18"/>
                <w:szCs w:val="18"/>
              </w:rPr>
            </w:pPr>
          </w:p>
        </w:tc>
        <w:tc>
          <w:tcPr>
            <w:tcW w:w="2175" w:type="dxa"/>
            <w:noWrap w:val="0"/>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112006</w:t>
            </w: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德保县人民检察院</w:t>
            </w:r>
          </w:p>
        </w:tc>
        <w:tc>
          <w:tcPr>
            <w:tcW w:w="1364" w:type="dxa"/>
            <w:noWrap w:val="0"/>
            <w:vAlign w:val="center"/>
          </w:tcPr>
          <w:p>
            <w:pPr>
              <w:jc w:val="right"/>
              <w:rPr>
                <w:sz w:val="18"/>
                <w:szCs w:val="18"/>
              </w:rPr>
            </w:pPr>
            <w:r>
              <w:rPr>
                <w:rFonts w:hint="eastAsia" w:ascii="宋体" w:hAnsi="宋体"/>
                <w:color w:val="000000"/>
                <w:sz w:val="18"/>
                <w:szCs w:val="18"/>
              </w:rPr>
              <w:t>973.77</w:t>
            </w:r>
          </w:p>
        </w:tc>
        <w:tc>
          <w:tcPr>
            <w:tcW w:w="940" w:type="dxa"/>
            <w:noWrap w:val="0"/>
            <w:vAlign w:val="center"/>
          </w:tcPr>
          <w:p>
            <w:pPr>
              <w:jc w:val="right"/>
              <w:rPr>
                <w:sz w:val="18"/>
                <w:szCs w:val="18"/>
              </w:rPr>
            </w:pPr>
            <w:r>
              <w:rPr>
                <w:rFonts w:hint="eastAsia" w:ascii="宋体" w:hAnsi="宋体"/>
                <w:color w:val="000000"/>
                <w:sz w:val="18"/>
                <w:szCs w:val="18"/>
              </w:rPr>
              <w:t>898.77</w:t>
            </w:r>
          </w:p>
        </w:tc>
        <w:tc>
          <w:tcPr>
            <w:tcW w:w="1255" w:type="dxa"/>
            <w:noWrap w:val="0"/>
            <w:vAlign w:val="center"/>
          </w:tcPr>
          <w:p>
            <w:pPr>
              <w:jc w:val="right"/>
              <w:rPr>
                <w:sz w:val="18"/>
                <w:szCs w:val="18"/>
              </w:rPr>
            </w:pPr>
            <w:r>
              <w:rPr>
                <w:rFonts w:hint="eastAsia" w:ascii="宋体" w:hAnsi="宋体"/>
                <w:color w:val="000000"/>
                <w:sz w:val="18"/>
                <w:szCs w:val="18"/>
              </w:rPr>
              <w:t>75</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其他共产党事务支出</w:t>
            </w:r>
          </w:p>
        </w:tc>
        <w:tc>
          <w:tcPr>
            <w:tcW w:w="1364" w:type="dxa"/>
            <w:noWrap w:val="0"/>
            <w:vAlign w:val="center"/>
          </w:tcPr>
          <w:p>
            <w:pPr>
              <w:jc w:val="right"/>
              <w:rPr>
                <w:sz w:val="18"/>
                <w:szCs w:val="18"/>
              </w:rPr>
            </w:pPr>
            <w:r>
              <w:rPr>
                <w:rFonts w:hint="eastAsia" w:ascii="宋体" w:hAnsi="宋体"/>
                <w:color w:val="000000"/>
                <w:sz w:val="18"/>
                <w:szCs w:val="18"/>
              </w:rPr>
              <w:t>1</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1</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204</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行政运行</w:t>
            </w:r>
          </w:p>
        </w:tc>
        <w:tc>
          <w:tcPr>
            <w:tcW w:w="1364" w:type="dxa"/>
            <w:noWrap w:val="0"/>
            <w:vAlign w:val="center"/>
          </w:tcPr>
          <w:p>
            <w:pPr>
              <w:jc w:val="right"/>
              <w:rPr>
                <w:sz w:val="18"/>
                <w:szCs w:val="18"/>
              </w:rPr>
            </w:pPr>
            <w:r>
              <w:rPr>
                <w:rFonts w:hint="eastAsia" w:ascii="宋体" w:hAnsi="宋体"/>
                <w:color w:val="000000"/>
                <w:sz w:val="18"/>
                <w:szCs w:val="18"/>
              </w:rPr>
              <w:t>634.04</w:t>
            </w:r>
          </w:p>
        </w:tc>
        <w:tc>
          <w:tcPr>
            <w:tcW w:w="940" w:type="dxa"/>
            <w:noWrap w:val="0"/>
            <w:vAlign w:val="center"/>
          </w:tcPr>
          <w:p>
            <w:pPr>
              <w:jc w:val="right"/>
              <w:rPr>
                <w:sz w:val="18"/>
                <w:szCs w:val="18"/>
              </w:rPr>
            </w:pPr>
            <w:r>
              <w:rPr>
                <w:rFonts w:hint="eastAsia" w:ascii="宋体" w:hAnsi="宋体"/>
                <w:color w:val="000000"/>
                <w:sz w:val="18"/>
                <w:szCs w:val="18"/>
              </w:rPr>
              <w:t>634.04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204</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一般行政管理事务</w:t>
            </w:r>
          </w:p>
        </w:tc>
        <w:tc>
          <w:tcPr>
            <w:tcW w:w="1364" w:type="dxa"/>
            <w:noWrap w:val="0"/>
            <w:vAlign w:val="center"/>
          </w:tcPr>
          <w:p>
            <w:pPr>
              <w:jc w:val="right"/>
              <w:rPr>
                <w:sz w:val="18"/>
                <w:szCs w:val="18"/>
              </w:rPr>
            </w:pPr>
            <w:r>
              <w:rPr>
                <w:rFonts w:hint="eastAsia" w:ascii="宋体" w:hAnsi="宋体"/>
                <w:color w:val="000000"/>
                <w:sz w:val="18"/>
                <w:szCs w:val="18"/>
              </w:rPr>
              <w:t>74</w:t>
            </w:r>
          </w:p>
        </w:tc>
        <w:tc>
          <w:tcPr>
            <w:tcW w:w="940" w:type="dxa"/>
            <w:noWrap w:val="0"/>
            <w:vAlign w:val="center"/>
          </w:tcPr>
          <w:p>
            <w:pPr>
              <w:jc w:val="right"/>
              <w:rPr>
                <w:sz w:val="18"/>
                <w:szCs w:val="18"/>
              </w:rPr>
            </w:pPr>
          </w:p>
        </w:tc>
        <w:tc>
          <w:tcPr>
            <w:tcW w:w="1255" w:type="dxa"/>
            <w:noWrap w:val="0"/>
            <w:vAlign w:val="center"/>
          </w:tcPr>
          <w:p>
            <w:pPr>
              <w:jc w:val="right"/>
              <w:rPr>
                <w:sz w:val="18"/>
                <w:szCs w:val="18"/>
              </w:rPr>
            </w:pPr>
            <w:r>
              <w:rPr>
                <w:rFonts w:hint="eastAsia" w:ascii="宋体" w:hAnsi="宋体"/>
                <w:color w:val="000000"/>
                <w:sz w:val="18"/>
                <w:szCs w:val="18"/>
              </w:rPr>
              <w:t>74</w:t>
            </w: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行政单位离退休</w:t>
            </w:r>
          </w:p>
        </w:tc>
        <w:tc>
          <w:tcPr>
            <w:tcW w:w="1364" w:type="dxa"/>
            <w:noWrap w:val="0"/>
            <w:vAlign w:val="center"/>
          </w:tcPr>
          <w:p>
            <w:pPr>
              <w:jc w:val="right"/>
              <w:rPr>
                <w:sz w:val="18"/>
                <w:szCs w:val="18"/>
              </w:rPr>
            </w:pPr>
            <w:r>
              <w:rPr>
                <w:rFonts w:hint="eastAsia" w:ascii="宋体" w:hAnsi="宋体"/>
                <w:color w:val="000000"/>
                <w:sz w:val="18"/>
                <w:szCs w:val="18"/>
              </w:rPr>
              <w:t>30.34</w:t>
            </w:r>
          </w:p>
        </w:tc>
        <w:tc>
          <w:tcPr>
            <w:tcW w:w="940" w:type="dxa"/>
            <w:noWrap w:val="0"/>
            <w:vAlign w:val="center"/>
          </w:tcPr>
          <w:p>
            <w:pPr>
              <w:jc w:val="right"/>
              <w:rPr>
                <w:sz w:val="18"/>
                <w:szCs w:val="18"/>
              </w:rPr>
            </w:pPr>
            <w:r>
              <w:rPr>
                <w:rFonts w:hint="eastAsia" w:ascii="宋体" w:hAnsi="宋体"/>
                <w:color w:val="000000"/>
                <w:sz w:val="18"/>
                <w:szCs w:val="18"/>
              </w:rPr>
              <w:t>30.34</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noWrap w:val="0"/>
            <w:vAlign w:val="center"/>
          </w:tcPr>
          <w:p>
            <w:pPr>
              <w:jc w:val="right"/>
              <w:rPr>
                <w:sz w:val="18"/>
                <w:szCs w:val="18"/>
              </w:rPr>
            </w:pPr>
            <w:r>
              <w:rPr>
                <w:rFonts w:hint="eastAsia" w:ascii="宋体" w:hAnsi="宋体"/>
                <w:color w:val="000000"/>
                <w:sz w:val="18"/>
                <w:szCs w:val="18"/>
              </w:rPr>
              <w:t>74.58</w:t>
            </w:r>
          </w:p>
        </w:tc>
        <w:tc>
          <w:tcPr>
            <w:tcW w:w="940" w:type="dxa"/>
            <w:noWrap w:val="0"/>
            <w:vAlign w:val="center"/>
          </w:tcPr>
          <w:p>
            <w:pPr>
              <w:jc w:val="right"/>
              <w:rPr>
                <w:sz w:val="18"/>
                <w:szCs w:val="18"/>
              </w:rPr>
            </w:pPr>
            <w:r>
              <w:rPr>
                <w:rFonts w:hint="eastAsia" w:ascii="宋体" w:hAnsi="宋体"/>
                <w:color w:val="000000"/>
                <w:sz w:val="18"/>
                <w:szCs w:val="18"/>
              </w:rPr>
              <w:t>74.58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noWrap w:val="0"/>
            <w:vAlign w:val="center"/>
          </w:tcPr>
          <w:p>
            <w:pPr>
              <w:jc w:val="right"/>
              <w:rPr>
                <w:sz w:val="18"/>
                <w:szCs w:val="18"/>
              </w:rPr>
            </w:pPr>
            <w:r>
              <w:rPr>
                <w:rFonts w:hint="eastAsia" w:ascii="宋体" w:hAnsi="宋体"/>
                <w:color w:val="000000"/>
                <w:sz w:val="18"/>
                <w:szCs w:val="18"/>
              </w:rPr>
              <w:t>40.72</w:t>
            </w:r>
          </w:p>
        </w:tc>
        <w:tc>
          <w:tcPr>
            <w:tcW w:w="940" w:type="dxa"/>
            <w:noWrap w:val="0"/>
            <w:vAlign w:val="center"/>
          </w:tcPr>
          <w:p>
            <w:pPr>
              <w:jc w:val="right"/>
              <w:rPr>
                <w:sz w:val="18"/>
                <w:szCs w:val="18"/>
              </w:rPr>
            </w:pPr>
            <w:r>
              <w:rPr>
                <w:rFonts w:hint="eastAsia" w:ascii="宋体" w:hAnsi="宋体"/>
                <w:color w:val="000000"/>
                <w:sz w:val="18"/>
                <w:szCs w:val="18"/>
              </w:rPr>
              <w:t>40.72</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行政单位医疗</w:t>
            </w:r>
          </w:p>
        </w:tc>
        <w:tc>
          <w:tcPr>
            <w:tcW w:w="1364" w:type="dxa"/>
            <w:noWrap w:val="0"/>
            <w:vAlign w:val="center"/>
          </w:tcPr>
          <w:p>
            <w:pPr>
              <w:jc w:val="right"/>
              <w:rPr>
                <w:sz w:val="18"/>
                <w:szCs w:val="18"/>
              </w:rPr>
            </w:pPr>
            <w:r>
              <w:rPr>
                <w:rFonts w:hint="eastAsia" w:ascii="宋体" w:hAnsi="宋体"/>
                <w:color w:val="000000"/>
                <w:sz w:val="18"/>
                <w:szCs w:val="18"/>
              </w:rPr>
              <w:t>37.66</w:t>
            </w:r>
          </w:p>
        </w:tc>
        <w:tc>
          <w:tcPr>
            <w:tcW w:w="940" w:type="dxa"/>
            <w:noWrap w:val="0"/>
            <w:vAlign w:val="center"/>
          </w:tcPr>
          <w:p>
            <w:pPr>
              <w:jc w:val="right"/>
              <w:rPr>
                <w:sz w:val="18"/>
                <w:szCs w:val="18"/>
              </w:rPr>
            </w:pPr>
            <w:r>
              <w:rPr>
                <w:rFonts w:hint="eastAsia" w:ascii="宋体" w:hAnsi="宋体"/>
                <w:color w:val="000000"/>
                <w:sz w:val="18"/>
                <w:szCs w:val="18"/>
              </w:rPr>
              <w:t>37.66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公务员医疗补助</w:t>
            </w:r>
          </w:p>
        </w:tc>
        <w:tc>
          <w:tcPr>
            <w:tcW w:w="1364" w:type="dxa"/>
            <w:noWrap w:val="0"/>
            <w:vAlign w:val="center"/>
          </w:tcPr>
          <w:p>
            <w:pPr>
              <w:jc w:val="right"/>
              <w:rPr>
                <w:sz w:val="18"/>
                <w:szCs w:val="18"/>
              </w:rPr>
            </w:pPr>
            <w:r>
              <w:rPr>
                <w:rFonts w:hint="eastAsia" w:ascii="宋体" w:hAnsi="宋体"/>
                <w:color w:val="000000"/>
                <w:sz w:val="18"/>
                <w:szCs w:val="18"/>
              </w:rPr>
              <w:t>20.36</w:t>
            </w:r>
          </w:p>
        </w:tc>
        <w:tc>
          <w:tcPr>
            <w:tcW w:w="940" w:type="dxa"/>
            <w:noWrap w:val="0"/>
            <w:vAlign w:val="center"/>
          </w:tcPr>
          <w:p>
            <w:pPr>
              <w:jc w:val="right"/>
              <w:rPr>
                <w:sz w:val="18"/>
                <w:szCs w:val="18"/>
              </w:rPr>
            </w:pPr>
            <w:r>
              <w:rPr>
                <w:rFonts w:hint="eastAsia" w:ascii="宋体" w:hAnsi="宋体"/>
                <w:color w:val="000000"/>
                <w:sz w:val="18"/>
                <w:szCs w:val="18"/>
              </w:rPr>
              <w:t>20.36</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noWrap w:val="0"/>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noWrap w:val="0"/>
            <w:vAlign w:val="center"/>
          </w:tcPr>
          <w:p>
            <w:pPr>
              <w:widowControl/>
              <w:jc w:val="left"/>
              <w:textAlignment w:val="center"/>
              <w:rPr>
                <w:rFonts w:ascii="宋体" w:hAnsi="宋体"/>
                <w:color w:val="000000"/>
                <w:sz w:val="18"/>
                <w:szCs w:val="18"/>
              </w:rPr>
            </w:pPr>
          </w:p>
        </w:tc>
        <w:tc>
          <w:tcPr>
            <w:tcW w:w="2191" w:type="dxa"/>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noWrap w:val="0"/>
            <w:vAlign w:val="center"/>
          </w:tcPr>
          <w:p>
            <w:pPr>
              <w:jc w:val="right"/>
              <w:rPr>
                <w:sz w:val="18"/>
                <w:szCs w:val="18"/>
              </w:rPr>
            </w:pPr>
            <w:r>
              <w:rPr>
                <w:rFonts w:hint="eastAsia" w:ascii="宋体" w:hAnsi="宋体"/>
                <w:color w:val="000000"/>
                <w:sz w:val="18"/>
                <w:szCs w:val="18"/>
              </w:rPr>
              <w:t>61.08</w:t>
            </w:r>
          </w:p>
        </w:tc>
        <w:tc>
          <w:tcPr>
            <w:tcW w:w="940" w:type="dxa"/>
            <w:noWrap w:val="0"/>
            <w:vAlign w:val="center"/>
          </w:tcPr>
          <w:p>
            <w:pPr>
              <w:jc w:val="right"/>
              <w:rPr>
                <w:sz w:val="18"/>
                <w:szCs w:val="18"/>
              </w:rPr>
            </w:pPr>
            <w:r>
              <w:rPr>
                <w:rFonts w:hint="eastAsia" w:ascii="宋体" w:hAnsi="宋体"/>
                <w:color w:val="000000"/>
                <w:sz w:val="18"/>
                <w:szCs w:val="18"/>
              </w:rPr>
              <w:t>61.08</w:t>
            </w:r>
          </w:p>
        </w:tc>
        <w:tc>
          <w:tcPr>
            <w:tcW w:w="1255" w:type="dxa"/>
            <w:noWrap w:val="0"/>
            <w:vAlign w:val="center"/>
          </w:tcPr>
          <w:p>
            <w:pPr>
              <w:jc w:val="right"/>
              <w:rPr>
                <w:sz w:val="18"/>
                <w:szCs w:val="18"/>
              </w:rPr>
            </w:pPr>
          </w:p>
        </w:tc>
        <w:tc>
          <w:tcPr>
            <w:tcW w:w="2032" w:type="dxa"/>
            <w:noWrap w:val="0"/>
            <w:vAlign w:val="center"/>
          </w:tcPr>
          <w:p>
            <w:pPr>
              <w:jc w:val="right"/>
              <w:rPr>
                <w:rFonts w:hint="eastAsia" w:ascii="宋体" w:hAnsi="宋体"/>
                <w:color w:val="000000"/>
                <w:sz w:val="18"/>
                <w:szCs w:val="18"/>
              </w:rPr>
            </w:pPr>
          </w:p>
        </w:tc>
        <w:tc>
          <w:tcPr>
            <w:tcW w:w="1513" w:type="dxa"/>
            <w:noWrap w:val="0"/>
            <w:vAlign w:val="center"/>
          </w:tcPr>
          <w:p>
            <w:pPr>
              <w:jc w:val="right"/>
              <w:rPr>
                <w:rFonts w:hint="eastAsia" w:ascii="宋体" w:hAnsi="宋体"/>
                <w:color w:val="000000"/>
                <w:sz w:val="18"/>
                <w:szCs w:val="18"/>
              </w:rPr>
            </w:pPr>
          </w:p>
        </w:tc>
        <w:tc>
          <w:tcPr>
            <w:tcW w:w="1993" w:type="dxa"/>
            <w:noWrap w:val="0"/>
            <w:vAlign w:val="center"/>
          </w:tcPr>
          <w:p>
            <w:pPr>
              <w:jc w:val="right"/>
              <w:rPr>
                <w:rFonts w:hint="eastAsia" w:ascii="宋体" w:hAnsi="宋体"/>
                <w:color w:val="000000"/>
                <w:sz w:val="18"/>
                <w:szCs w:val="18"/>
              </w:rPr>
            </w:pPr>
          </w:p>
        </w:tc>
      </w:tr>
      <w:bookmarkEnd w:id="15"/>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bookmarkEnd w:id="17"/>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8"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noWrap w:val="0"/>
            <w:vAlign w:val="center"/>
          </w:tcPr>
          <w:p>
            <w:pPr>
              <w:jc w:val="right"/>
              <w:rPr>
                <w:rFonts w:hint="eastAsia" w:ascii="宋体" w:hAnsi="宋体"/>
                <w:color w:val="000000"/>
                <w:sz w:val="18"/>
                <w:szCs w:val="18"/>
              </w:rPr>
            </w:pP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c>
          <w:tcPr>
            <w:tcW w:w="3827" w:type="dxa"/>
            <w:tcBorders>
              <w:top w:val="single" w:color="auto" w:sz="4" w:space="0"/>
            </w:tcBorders>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noWrap w:val="0"/>
            <w:vAlign w:val="center"/>
          </w:tcPr>
          <w:p>
            <w:pPr>
              <w:widowControl/>
              <w:jc w:val="center"/>
              <w:textAlignment w:val="center"/>
              <w:rPr>
                <w:rFonts w:ascii="宋体" w:hAnsi="宋体"/>
                <w:color w:val="000000"/>
                <w:sz w:val="18"/>
                <w:szCs w:val="18"/>
              </w:rPr>
            </w:pPr>
          </w:p>
        </w:tc>
        <w:tc>
          <w:tcPr>
            <w:tcW w:w="3826" w:type="dxa"/>
            <w:noWrap w:val="0"/>
            <w:vAlign w:val="center"/>
          </w:tcPr>
          <w:p>
            <w:pPr>
              <w:jc w:val="right"/>
              <w:rPr>
                <w:rFonts w:ascii="宋体" w:hAnsi="宋体"/>
                <w:color w:val="000000"/>
                <w:sz w:val="18"/>
                <w:szCs w:val="18"/>
              </w:rPr>
            </w:pPr>
          </w:p>
        </w:tc>
        <w:tc>
          <w:tcPr>
            <w:tcW w:w="3827" w:type="dxa"/>
            <w:noWrap w:val="0"/>
            <w:vAlign w:val="center"/>
          </w:tcPr>
          <w:p>
            <w:pPr>
              <w:widowControl/>
              <w:jc w:val="center"/>
              <w:textAlignment w:val="center"/>
              <w:rPr>
                <w:rFonts w:ascii="宋体" w:hAnsi="宋体"/>
                <w:color w:val="000000"/>
                <w:sz w:val="18"/>
                <w:szCs w:val="18"/>
              </w:rPr>
            </w:pPr>
          </w:p>
        </w:tc>
        <w:tc>
          <w:tcPr>
            <w:tcW w:w="3827" w:type="dxa"/>
            <w:noWrap w:val="0"/>
            <w:vAlign w:val="center"/>
          </w:tcPr>
          <w:p>
            <w:pPr>
              <w:jc w:val="right"/>
              <w:rPr>
                <w:rFonts w:ascii="宋体" w:hAnsi="宋体"/>
                <w:color w:val="000000"/>
                <w:sz w:val="18"/>
                <w:szCs w:val="18"/>
              </w:rPr>
            </w:pPr>
          </w:p>
        </w:tc>
      </w:tr>
      <w:bookmarkEnd w:id="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pPr>
        <w:rPr>
          <w:rFonts w:hint="eastAsia"/>
        </w:rPr>
      </w:pPr>
      <w:bookmarkStart w:id="21" w:name="PO_part2Table5"/>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widowControl/>
              <w:jc w:val="center"/>
              <w:textAlignment w:val="center"/>
              <w:rPr>
                <w:rFonts w:hint="eastAsia" w:ascii="宋体" w:hAnsi="宋体"/>
                <w:color w:val="000000"/>
                <w:sz w:val="18"/>
                <w:szCs w:val="18"/>
              </w:rPr>
            </w:pPr>
          </w:p>
        </w:tc>
        <w:tc>
          <w:tcPr>
            <w:tcW w:w="919" w:type="dxa"/>
            <w:vMerge w:val="continue"/>
            <w:noWrap w:val="0"/>
            <w:vAlign w:val="center"/>
          </w:tcPr>
          <w:p>
            <w:pPr>
              <w:widowControl/>
              <w:jc w:val="center"/>
              <w:textAlignment w:val="center"/>
              <w:rPr>
                <w:rFonts w:hint="eastAsia" w:ascii="宋体" w:hAnsi="宋体"/>
                <w:color w:val="000000"/>
                <w:sz w:val="18"/>
                <w:szCs w:val="18"/>
              </w:rPr>
            </w:pPr>
          </w:p>
        </w:tc>
        <w:tc>
          <w:tcPr>
            <w:tcW w:w="2717" w:type="dxa"/>
            <w:vMerge w:val="continue"/>
            <w:noWrap w:val="0"/>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noWrap w:val="0"/>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noWrap w:val="0"/>
            <w:vAlign w:val="center"/>
          </w:tcPr>
          <w:p>
            <w:pPr>
              <w:jc w:val="right"/>
              <w:rPr>
                <w:rFonts w:hint="eastAsia" w:ascii="宋体" w:hAnsi="宋体"/>
                <w:color w:val="000000"/>
                <w:kern w:val="0"/>
                <w:sz w:val="18"/>
                <w:szCs w:val="18"/>
              </w:rPr>
            </w:pPr>
          </w:p>
        </w:tc>
        <w:tc>
          <w:tcPr>
            <w:tcW w:w="919" w:type="dxa"/>
            <w:vMerge w:val="continue"/>
            <w:noWrap w:val="0"/>
            <w:vAlign w:val="center"/>
          </w:tcPr>
          <w:p>
            <w:pPr>
              <w:jc w:val="right"/>
              <w:rPr>
                <w:rFonts w:hint="eastAsia" w:ascii="宋体" w:hAnsi="宋体"/>
                <w:color w:val="000000"/>
                <w:kern w:val="0"/>
                <w:sz w:val="18"/>
                <w:szCs w:val="18"/>
              </w:rPr>
            </w:pPr>
          </w:p>
        </w:tc>
        <w:tc>
          <w:tcPr>
            <w:tcW w:w="2717" w:type="dxa"/>
            <w:vMerge w:val="continue"/>
            <w:noWrap w:val="0"/>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c>
          <w:tcPr>
            <w:tcW w:w="2080"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noWrap w:val="0"/>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noWrap w:val="0"/>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973.77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898.77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808.36</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112</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广西壮族自治区百色市人民检察院</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973.77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898.77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808.36</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p>
        </w:tc>
        <w:tc>
          <w:tcPr>
            <w:tcW w:w="495" w:type="dxa"/>
            <w:noWrap w:val="0"/>
            <w:vAlign w:val="center"/>
          </w:tcPr>
          <w:p>
            <w:pPr>
              <w:widowControl/>
              <w:textAlignment w:val="center"/>
              <w:rPr>
                <w:rFonts w:hint="eastAsia" w:ascii="宋体" w:hAnsi="宋体"/>
                <w:color w:val="000000"/>
                <w:sz w:val="18"/>
                <w:szCs w:val="18"/>
              </w:rPr>
            </w:pPr>
          </w:p>
        </w:tc>
        <w:tc>
          <w:tcPr>
            <w:tcW w:w="480" w:type="dxa"/>
            <w:noWrap w:val="0"/>
            <w:vAlign w:val="center"/>
          </w:tcPr>
          <w:p>
            <w:pPr>
              <w:widowControl/>
              <w:textAlignment w:val="center"/>
              <w:rPr>
                <w:rFonts w:hint="eastAsia" w:ascii="宋体" w:hAnsi="宋体"/>
                <w:color w:val="000000"/>
                <w:sz w:val="18"/>
                <w:szCs w:val="18"/>
              </w:rPr>
            </w:pPr>
          </w:p>
        </w:tc>
        <w:tc>
          <w:tcPr>
            <w:tcW w:w="919"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112006</w:t>
            </w: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德保县人民检察院</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973.77</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898.77</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808.36</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36</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其他共产党事务支出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1</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204</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行政运行</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634.04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634.04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543.95</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90.09</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204</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04</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一般行政管理事务</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74</w:t>
            </w:r>
          </w:p>
        </w:tc>
        <w:tc>
          <w:tcPr>
            <w:tcW w:w="2080" w:type="dxa"/>
            <w:noWrap w:val="0"/>
            <w:vAlign w:val="center"/>
          </w:tcPr>
          <w:p>
            <w:pPr>
              <w:jc w:val="right"/>
              <w:rPr>
                <w:rFonts w:hint="eastAsia" w:ascii="宋体" w:hAnsi="宋体"/>
                <w:color w:val="000000"/>
                <w:sz w:val="18"/>
                <w:szCs w:val="18"/>
              </w:rPr>
            </w:pPr>
          </w:p>
        </w:tc>
        <w:tc>
          <w:tcPr>
            <w:tcW w:w="2126" w:type="dxa"/>
            <w:noWrap w:val="0"/>
            <w:vAlign w:val="center"/>
          </w:tcPr>
          <w:p>
            <w:pPr>
              <w:jc w:val="right"/>
              <w:rPr>
                <w:rFonts w:hint="eastAsia" w:ascii="宋体" w:hAnsi="宋体"/>
                <w:color w:val="000000"/>
                <w:sz w:val="18"/>
                <w:szCs w:val="18"/>
              </w:rPr>
            </w:pP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行政单位离退休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30.34</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30.34</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30.02</w:t>
            </w:r>
          </w:p>
        </w:tc>
        <w:tc>
          <w:tcPr>
            <w:tcW w:w="1843"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0.32</w:t>
            </w: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74.58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74.58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74.58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40.72</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40.72</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40.72</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行政单位医疗</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37.66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37.66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37.66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公务员医疗补助</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20.36</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20.36</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20.36</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noWrap w:val="0"/>
            <w:vAlign w:val="center"/>
          </w:tcPr>
          <w:p>
            <w:pPr>
              <w:widowControl/>
              <w:textAlignment w:val="center"/>
              <w:rPr>
                <w:rFonts w:hint="eastAsia" w:ascii="宋体" w:hAnsi="宋体"/>
                <w:color w:val="00000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noWrap w:val="0"/>
            <w:vAlign w:val="center"/>
          </w:tcPr>
          <w:p>
            <w:pPr>
              <w:jc w:val="right"/>
              <w:rPr>
                <w:rFonts w:hint="eastAsia" w:ascii="宋体" w:hAnsi="宋体"/>
                <w:color w:val="000000"/>
                <w:kern w:val="0"/>
                <w:sz w:val="18"/>
                <w:szCs w:val="18"/>
              </w:rPr>
            </w:pPr>
            <w:r>
              <w:rPr>
                <w:rFonts w:hint="eastAsia" w:ascii="宋体" w:hAnsi="宋体"/>
                <w:color w:val="000000"/>
                <w:sz w:val="18"/>
                <w:szCs w:val="18"/>
              </w:rPr>
              <w:t>61.08</w:t>
            </w:r>
          </w:p>
        </w:tc>
        <w:tc>
          <w:tcPr>
            <w:tcW w:w="2080"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61.08</w:t>
            </w:r>
          </w:p>
        </w:tc>
        <w:tc>
          <w:tcPr>
            <w:tcW w:w="2126"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61.08</w:t>
            </w:r>
          </w:p>
        </w:tc>
        <w:tc>
          <w:tcPr>
            <w:tcW w:w="1843" w:type="dxa"/>
            <w:noWrap w:val="0"/>
            <w:vAlign w:val="center"/>
          </w:tcPr>
          <w:p>
            <w:pPr>
              <w:jc w:val="right"/>
              <w:rPr>
                <w:rFonts w:hint="eastAsia" w:ascii="宋体" w:hAnsi="宋体"/>
                <w:color w:val="000000"/>
                <w:sz w:val="18"/>
                <w:szCs w:val="18"/>
              </w:rPr>
            </w:pPr>
          </w:p>
        </w:tc>
        <w:tc>
          <w:tcPr>
            <w:tcW w:w="1559"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noWrap w:val="0"/>
            <w:vAlign w:val="center"/>
          </w:tcPr>
          <w:p>
            <w:pPr>
              <w:rPr>
                <w:rFonts w:hint="eastAsia" w:ascii="宋体" w:hAnsi="宋体"/>
                <w:color w:val="000000"/>
                <w:kern w:val="0"/>
                <w:sz w:val="18"/>
                <w:szCs w:val="18"/>
              </w:rPr>
            </w:pPr>
          </w:p>
        </w:tc>
        <w:tc>
          <w:tcPr>
            <w:tcW w:w="495" w:type="dxa"/>
            <w:noWrap w:val="0"/>
            <w:vAlign w:val="center"/>
          </w:tcPr>
          <w:p>
            <w:pPr>
              <w:rPr>
                <w:rFonts w:hint="eastAsia" w:ascii="宋体" w:hAnsi="宋体"/>
                <w:color w:val="000000"/>
                <w:kern w:val="0"/>
                <w:sz w:val="18"/>
                <w:szCs w:val="18"/>
              </w:rPr>
            </w:pPr>
          </w:p>
        </w:tc>
        <w:tc>
          <w:tcPr>
            <w:tcW w:w="480" w:type="dxa"/>
            <w:noWrap w:val="0"/>
            <w:vAlign w:val="center"/>
          </w:tcPr>
          <w:p>
            <w:pPr>
              <w:rPr>
                <w:rFonts w:hint="eastAsia" w:ascii="宋体" w:hAnsi="宋体"/>
                <w:color w:val="000000"/>
                <w:kern w:val="0"/>
                <w:sz w:val="18"/>
                <w:szCs w:val="18"/>
              </w:rPr>
            </w:pPr>
          </w:p>
        </w:tc>
        <w:tc>
          <w:tcPr>
            <w:tcW w:w="919" w:type="dxa"/>
            <w:noWrap w:val="0"/>
            <w:vAlign w:val="center"/>
          </w:tcPr>
          <w:p>
            <w:pPr>
              <w:rPr>
                <w:rFonts w:hint="eastAsia" w:ascii="宋体" w:hAnsi="宋体"/>
                <w:color w:val="000000"/>
                <w:kern w:val="0"/>
                <w:sz w:val="18"/>
                <w:szCs w:val="18"/>
              </w:rPr>
            </w:pPr>
          </w:p>
        </w:tc>
        <w:tc>
          <w:tcPr>
            <w:tcW w:w="2717" w:type="dxa"/>
            <w:noWrap w:val="0"/>
            <w:vAlign w:val="center"/>
          </w:tcPr>
          <w:p>
            <w:pPr>
              <w:widowControl/>
              <w:jc w:val="left"/>
              <w:textAlignment w:val="center"/>
              <w:rPr>
                <w:rFonts w:hint="eastAsia" w:ascii="宋体" w:hAnsi="宋体"/>
                <w:color w:val="000000"/>
                <w:kern w:val="0"/>
                <w:sz w:val="18"/>
                <w:szCs w:val="18"/>
              </w:rPr>
            </w:pPr>
          </w:p>
        </w:tc>
        <w:tc>
          <w:tcPr>
            <w:tcW w:w="1704" w:type="dxa"/>
            <w:noWrap w:val="0"/>
            <w:vAlign w:val="center"/>
          </w:tcPr>
          <w:p>
            <w:pPr>
              <w:widowControl/>
              <w:jc w:val="right"/>
              <w:textAlignment w:val="center"/>
              <w:rPr>
                <w:rFonts w:hint="eastAsia" w:ascii="宋体" w:hAnsi="宋体"/>
                <w:color w:val="000000"/>
                <w:kern w:val="0"/>
                <w:sz w:val="18"/>
                <w:szCs w:val="18"/>
              </w:rPr>
            </w:pPr>
          </w:p>
        </w:tc>
        <w:tc>
          <w:tcPr>
            <w:tcW w:w="2080" w:type="dxa"/>
            <w:noWrap w:val="0"/>
            <w:vAlign w:val="center"/>
          </w:tcPr>
          <w:p>
            <w:pPr>
              <w:widowControl/>
              <w:jc w:val="right"/>
              <w:textAlignment w:val="center"/>
              <w:rPr>
                <w:rFonts w:hint="eastAsia" w:ascii="宋体" w:hAnsi="宋体"/>
                <w:color w:val="000000"/>
                <w:sz w:val="18"/>
                <w:szCs w:val="18"/>
              </w:rPr>
            </w:pPr>
          </w:p>
        </w:tc>
        <w:tc>
          <w:tcPr>
            <w:tcW w:w="2126" w:type="dxa"/>
            <w:noWrap w:val="0"/>
            <w:vAlign w:val="center"/>
          </w:tcPr>
          <w:p>
            <w:pPr>
              <w:widowControl/>
              <w:jc w:val="right"/>
              <w:textAlignment w:val="center"/>
              <w:rPr>
                <w:rFonts w:hint="eastAsia" w:ascii="宋体" w:hAnsi="宋体"/>
                <w:color w:val="000000"/>
                <w:sz w:val="18"/>
                <w:szCs w:val="18"/>
              </w:rPr>
            </w:pPr>
          </w:p>
        </w:tc>
        <w:tc>
          <w:tcPr>
            <w:tcW w:w="1843" w:type="dxa"/>
            <w:noWrap w:val="0"/>
            <w:vAlign w:val="center"/>
          </w:tcPr>
          <w:p>
            <w:pPr>
              <w:widowControl/>
              <w:jc w:val="right"/>
              <w:textAlignment w:val="center"/>
              <w:rPr>
                <w:rFonts w:hint="eastAsia" w:ascii="宋体" w:hAnsi="宋体"/>
                <w:color w:val="000000"/>
                <w:sz w:val="18"/>
                <w:szCs w:val="18"/>
              </w:rPr>
            </w:pPr>
          </w:p>
        </w:tc>
        <w:tc>
          <w:tcPr>
            <w:tcW w:w="1559" w:type="dxa"/>
            <w:noWrap w:val="0"/>
            <w:vAlign w:val="center"/>
          </w:tcPr>
          <w:p>
            <w:pPr>
              <w:jc w:val="right"/>
              <w:rPr>
                <w:rFonts w:hint="eastAsia" w:ascii="宋体" w:hAnsi="宋体"/>
                <w:color w:val="000000"/>
                <w:kern w:val="0"/>
                <w:sz w:val="18"/>
                <w:szCs w:val="18"/>
              </w:rPr>
            </w:pPr>
          </w:p>
        </w:tc>
      </w:tr>
      <w:bookmarkEnd w:id="21"/>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3"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4"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24"/>
          </w:p>
        </w:tc>
        <w:tc>
          <w:tcPr>
            <w:tcW w:w="5104" w:type="dxa"/>
            <w:gridSpan w:val="2"/>
            <w:tcBorders>
              <w:top w:val="nil"/>
              <w:left w:val="nil"/>
              <w:bottom w:val="single" w:color="000000" w:sz="8"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898.77</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808.36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774.02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774.02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167.39</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167.39</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112.95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112.95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奖金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114.63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114.63</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74.58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74.58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40.72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40.72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37.15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37.15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公务员医疗补助缴费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20.36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20.36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0.51</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61.08</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61.08</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其他工资福利支出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144.66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144.66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2.76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水费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5.05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16</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培训费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2.74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31</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公务用车运行维护费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39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其他交通费用</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33.24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15.12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对个人和家庭的补助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34.34</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34.34</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退休费</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25.45</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25.45</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生活补助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4.32</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4.32</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303</w:t>
            </w:r>
          </w:p>
        </w:tc>
        <w:tc>
          <w:tcPr>
            <w:tcW w:w="1531" w:type="dxa"/>
            <w:tcBorders>
              <w:left w:val="single" w:color="000000" w:sz="8" w:space="0"/>
              <w:right w:val="single" w:color="000000" w:sz="8" w:space="0"/>
            </w:tcBorders>
            <w:noWrap w:val="0"/>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医疗费补助</w:t>
            </w: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4.56</w:t>
            </w: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r>
              <w:rPr>
                <w:rFonts w:hint="eastAsia" w:ascii="宋体" w:hAnsi="宋体"/>
                <w:color w:val="000000"/>
                <w:sz w:val="18"/>
                <w:szCs w:val="18"/>
              </w:rPr>
              <w:t>4.56</w:t>
            </w: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noWrap w:val="0"/>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noWrap w:val="0"/>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26"/>
          </w:p>
        </w:tc>
        <w:tc>
          <w:tcPr>
            <w:tcW w:w="10035" w:type="dxa"/>
            <w:gridSpan w:val="11"/>
            <w:tcBorders>
              <w:top w:val="nil"/>
              <w:left w:val="nil"/>
              <w:bottom w:val="single" w:color="auto" w:sz="4"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noWrap w:val="0"/>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noWrap w:val="0"/>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vMerge w:val="continue"/>
            <w:noWrap w:val="0"/>
            <w:vAlign w:val="center"/>
          </w:tcPr>
          <w:p>
            <w:pPr>
              <w:jc w:val="center"/>
              <w:rPr>
                <w:rFonts w:hint="eastAsia" w:ascii="宋体" w:hAnsi="宋体"/>
                <w:color w:val="000000"/>
                <w:sz w:val="18"/>
                <w:szCs w:val="18"/>
              </w:rPr>
            </w:pPr>
          </w:p>
        </w:tc>
        <w:tc>
          <w:tcPr>
            <w:tcW w:w="1080" w:type="dxa"/>
            <w:vMerge w:val="continue"/>
            <w:noWrap w:val="0"/>
            <w:vAlign w:val="center"/>
          </w:tcPr>
          <w:p>
            <w:pPr>
              <w:jc w:val="center"/>
              <w:rPr>
                <w:rFonts w:hint="eastAsia" w:ascii="宋体" w:hAnsi="宋体"/>
                <w:color w:val="000000"/>
                <w:sz w:val="18"/>
                <w:szCs w:val="18"/>
              </w:rPr>
            </w:pPr>
          </w:p>
        </w:tc>
        <w:tc>
          <w:tcPr>
            <w:tcW w:w="855" w:type="dxa"/>
            <w:vMerge w:val="continue"/>
            <w:noWrap w:val="0"/>
            <w:vAlign w:val="center"/>
          </w:tcPr>
          <w:p>
            <w:pPr>
              <w:jc w:val="center"/>
              <w:rPr>
                <w:rFonts w:hint="eastAsia" w:ascii="宋体" w:hAnsi="宋体"/>
                <w:color w:val="000000"/>
                <w:sz w:val="18"/>
                <w:szCs w:val="18"/>
              </w:rPr>
            </w:pPr>
          </w:p>
        </w:tc>
        <w:tc>
          <w:tcPr>
            <w:tcW w:w="76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noWrap w:val="0"/>
            <w:vAlign w:val="center"/>
          </w:tcPr>
          <w:p>
            <w:pPr>
              <w:jc w:val="center"/>
              <w:rPr>
                <w:rFonts w:hint="eastAsia" w:ascii="宋体" w:hAnsi="宋体"/>
                <w:color w:val="000000"/>
                <w:sz w:val="18"/>
                <w:szCs w:val="18"/>
              </w:rPr>
            </w:pPr>
          </w:p>
        </w:tc>
        <w:tc>
          <w:tcPr>
            <w:tcW w:w="675" w:type="dxa"/>
            <w:vMerge w:val="continue"/>
            <w:noWrap w:val="0"/>
            <w:vAlign w:val="center"/>
          </w:tcPr>
          <w:p>
            <w:pPr>
              <w:jc w:val="center"/>
              <w:textAlignment w:val="center"/>
              <w:rPr>
                <w:rFonts w:hint="eastAsia" w:ascii="宋体" w:hAnsi="宋体"/>
                <w:color w:val="000000"/>
                <w:sz w:val="18"/>
                <w:szCs w:val="18"/>
              </w:rPr>
            </w:pPr>
          </w:p>
        </w:tc>
        <w:tc>
          <w:tcPr>
            <w:tcW w:w="750" w:type="dxa"/>
            <w:vMerge w:val="continue"/>
            <w:noWrap w:val="0"/>
            <w:vAlign w:val="center"/>
          </w:tcPr>
          <w:p>
            <w:pPr>
              <w:jc w:val="center"/>
              <w:textAlignment w:val="center"/>
              <w:rPr>
                <w:rFonts w:hint="eastAsia" w:ascii="宋体" w:hAnsi="宋体"/>
                <w:color w:val="000000"/>
                <w:sz w:val="18"/>
                <w:szCs w:val="18"/>
              </w:rPr>
            </w:pPr>
          </w:p>
        </w:tc>
        <w:tc>
          <w:tcPr>
            <w:tcW w:w="885" w:type="dxa"/>
            <w:vMerge w:val="continue"/>
            <w:noWrap w:val="0"/>
            <w:vAlign w:val="center"/>
          </w:tcPr>
          <w:p>
            <w:pPr>
              <w:jc w:val="center"/>
              <w:textAlignment w:val="center"/>
              <w:rPr>
                <w:rFonts w:hint="eastAsia" w:ascii="宋体" w:hAnsi="宋体"/>
                <w:color w:val="000000"/>
                <w:sz w:val="18"/>
                <w:szCs w:val="18"/>
              </w:rPr>
            </w:pPr>
          </w:p>
        </w:tc>
        <w:tc>
          <w:tcPr>
            <w:tcW w:w="870" w:type="dxa"/>
            <w:vMerge w:val="continue"/>
            <w:noWrap w:val="0"/>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noWrap w:val="0"/>
            <w:vAlign w:val="center"/>
          </w:tcPr>
          <w:p>
            <w:pPr>
              <w:jc w:val="center"/>
              <w:rPr>
                <w:rFonts w:hint="eastAsia" w:ascii="宋体" w:hAnsi="宋体"/>
                <w:color w:val="000000"/>
                <w:sz w:val="18"/>
                <w:szCs w:val="18"/>
              </w:rPr>
            </w:pPr>
          </w:p>
        </w:tc>
        <w:tc>
          <w:tcPr>
            <w:tcW w:w="2265" w:type="dxa"/>
            <w:vMerge w:val="continue"/>
            <w:noWrap w:val="0"/>
            <w:vAlign w:val="center"/>
          </w:tcPr>
          <w:p>
            <w:pPr>
              <w:jc w:val="left"/>
              <w:textAlignment w:val="center"/>
              <w:rPr>
                <w:rFonts w:hint="eastAsia" w:ascii="宋体" w:hAnsi="宋体"/>
                <w:color w:val="000000"/>
                <w:sz w:val="18"/>
                <w:szCs w:val="18"/>
              </w:rPr>
            </w:pPr>
          </w:p>
        </w:tc>
        <w:tc>
          <w:tcPr>
            <w:tcW w:w="1725" w:type="dxa"/>
            <w:vMerge w:val="continue"/>
            <w:noWrap w:val="0"/>
            <w:vAlign w:val="center"/>
          </w:tcPr>
          <w:p>
            <w:pPr>
              <w:jc w:val="left"/>
              <w:textAlignment w:val="center"/>
              <w:rPr>
                <w:rFonts w:hint="eastAsia" w:ascii="宋体" w:hAnsi="宋体"/>
                <w:color w:val="000000"/>
                <w:sz w:val="18"/>
                <w:szCs w:val="18"/>
              </w:rPr>
            </w:pPr>
          </w:p>
        </w:tc>
        <w:tc>
          <w:tcPr>
            <w:tcW w:w="1095" w:type="dxa"/>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noWrap w:val="0"/>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noWrap w:val="0"/>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noWrap w:val="0"/>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noWrap w:val="0"/>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合计</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6</w:t>
            </w:r>
          </w:p>
        </w:tc>
        <w:tc>
          <w:tcPr>
            <w:tcW w:w="675" w:type="dxa"/>
            <w:noWrap w:val="0"/>
            <w:vAlign w:val="center"/>
          </w:tcPr>
          <w:p>
            <w:pPr>
              <w:jc w:val="right"/>
              <w:textAlignment w:val="center"/>
              <w:rPr>
                <w:rFonts w:hint="eastAsia" w:ascii="宋体" w:hAnsi="宋体"/>
                <w:color w:val="000000"/>
                <w:sz w:val="18"/>
                <w:szCs w:val="18"/>
              </w:rPr>
            </w:pPr>
          </w:p>
        </w:tc>
        <w:tc>
          <w:tcPr>
            <w:tcW w:w="750"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8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112</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广西壮族自治区百色市人民检察院</w:t>
            </w:r>
          </w:p>
        </w:tc>
        <w:tc>
          <w:tcPr>
            <w:tcW w:w="1725" w:type="dxa"/>
            <w:noWrap w:val="0"/>
            <w:vAlign w:val="center"/>
          </w:tcPr>
          <w:p>
            <w:pPr>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6</w:t>
            </w:r>
          </w:p>
        </w:tc>
        <w:tc>
          <w:tcPr>
            <w:tcW w:w="675" w:type="dxa"/>
            <w:noWrap w:val="0"/>
            <w:vAlign w:val="center"/>
          </w:tcPr>
          <w:p>
            <w:pPr>
              <w:jc w:val="right"/>
              <w:textAlignment w:val="center"/>
              <w:rPr>
                <w:rFonts w:hint="eastAsia" w:ascii="宋体" w:hAnsi="宋体"/>
                <w:color w:val="000000"/>
                <w:sz w:val="18"/>
                <w:szCs w:val="18"/>
              </w:rPr>
            </w:pPr>
          </w:p>
        </w:tc>
        <w:tc>
          <w:tcPr>
            <w:tcW w:w="750"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8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r>
              <w:rPr>
                <w:rFonts w:hint="eastAsia" w:ascii="宋体" w:hAnsi="宋体"/>
                <w:color w:val="000000"/>
                <w:sz w:val="18"/>
                <w:szCs w:val="18"/>
                <w:lang w:eastAsia="zh-CN"/>
              </w:rPr>
              <w:t>112006</w:t>
            </w:r>
          </w:p>
        </w:tc>
        <w:tc>
          <w:tcPr>
            <w:tcW w:w="226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德保县人民检察院</w:t>
            </w:r>
          </w:p>
        </w:tc>
        <w:tc>
          <w:tcPr>
            <w:tcW w:w="1725" w:type="dxa"/>
            <w:noWrap w:val="0"/>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一般公共预算资金</w:t>
            </w:r>
          </w:p>
        </w:tc>
        <w:tc>
          <w:tcPr>
            <w:tcW w:w="109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28</w:t>
            </w:r>
          </w:p>
        </w:tc>
        <w:tc>
          <w:tcPr>
            <w:tcW w:w="108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17</w:t>
            </w: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260" w:type="dxa"/>
            <w:noWrap w:val="0"/>
            <w:vAlign w:val="center"/>
          </w:tcPr>
          <w:p>
            <w:pPr>
              <w:widowControl/>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6</w:t>
            </w:r>
          </w:p>
        </w:tc>
        <w:tc>
          <w:tcPr>
            <w:tcW w:w="675" w:type="dxa"/>
            <w:noWrap w:val="0"/>
            <w:vAlign w:val="center"/>
          </w:tcPr>
          <w:p>
            <w:pPr>
              <w:jc w:val="right"/>
              <w:textAlignment w:val="center"/>
              <w:rPr>
                <w:rFonts w:hint="eastAsia" w:ascii="宋体" w:hAnsi="宋体"/>
                <w:color w:val="000000"/>
                <w:sz w:val="18"/>
                <w:szCs w:val="18"/>
              </w:rPr>
            </w:pPr>
          </w:p>
        </w:tc>
        <w:tc>
          <w:tcPr>
            <w:tcW w:w="750"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85" w:type="dxa"/>
            <w:noWrap w:val="0"/>
            <w:vAlign w:val="center"/>
          </w:tcPr>
          <w:p>
            <w:pPr>
              <w:jc w:val="right"/>
              <w:textAlignment w:val="center"/>
              <w:rPr>
                <w:rFonts w:hint="eastAsia" w:ascii="宋体" w:hAnsi="宋体"/>
                <w:color w:val="000000"/>
                <w:sz w:val="18"/>
                <w:szCs w:val="18"/>
              </w:rPr>
            </w:pPr>
            <w:r>
              <w:rPr>
                <w:rFonts w:hint="eastAsia" w:ascii="宋体" w:hAnsi="宋体"/>
                <w:color w:val="000000"/>
                <w:sz w:val="18"/>
                <w:szCs w:val="18"/>
              </w:rPr>
              <w:t>11</w:t>
            </w:r>
          </w:p>
        </w:tc>
        <w:tc>
          <w:tcPr>
            <w:tcW w:w="870" w:type="dxa"/>
            <w:noWrap w:val="0"/>
            <w:vAlign w:val="center"/>
          </w:tcPr>
          <w:p>
            <w:pPr>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noWrap w:val="0"/>
            <w:vAlign w:val="center"/>
          </w:tcPr>
          <w:p>
            <w:pPr>
              <w:widowControl/>
              <w:jc w:val="left"/>
              <w:textAlignment w:val="center"/>
              <w:rPr>
                <w:rFonts w:hint="eastAsia" w:ascii="宋体" w:hAnsi="宋体"/>
                <w:color w:val="000000"/>
                <w:sz w:val="18"/>
                <w:szCs w:val="18"/>
              </w:rPr>
            </w:pPr>
          </w:p>
        </w:tc>
        <w:tc>
          <w:tcPr>
            <w:tcW w:w="2265" w:type="dxa"/>
            <w:noWrap w:val="0"/>
            <w:vAlign w:val="top"/>
          </w:tcPr>
          <w:p>
            <w:pPr>
              <w:widowControl/>
              <w:jc w:val="left"/>
              <w:textAlignment w:val="center"/>
              <w:rPr>
                <w:rFonts w:hint="eastAsia" w:ascii="宋体" w:hAnsi="宋体"/>
                <w:color w:val="000000"/>
                <w:sz w:val="18"/>
                <w:szCs w:val="18"/>
              </w:rPr>
            </w:pPr>
          </w:p>
        </w:tc>
        <w:tc>
          <w:tcPr>
            <w:tcW w:w="1725" w:type="dxa"/>
            <w:noWrap w:val="0"/>
            <w:vAlign w:val="center"/>
          </w:tcPr>
          <w:p>
            <w:pPr>
              <w:widowControl/>
              <w:jc w:val="left"/>
              <w:textAlignment w:val="center"/>
              <w:rPr>
                <w:rFonts w:hint="eastAsia" w:ascii="宋体" w:hAnsi="宋体"/>
                <w:color w:val="000000"/>
                <w:sz w:val="18"/>
                <w:szCs w:val="18"/>
              </w:rPr>
            </w:pPr>
          </w:p>
        </w:tc>
        <w:tc>
          <w:tcPr>
            <w:tcW w:w="1095" w:type="dxa"/>
            <w:noWrap w:val="0"/>
            <w:vAlign w:val="center"/>
          </w:tcPr>
          <w:p>
            <w:pPr>
              <w:widowControl/>
              <w:jc w:val="right"/>
              <w:textAlignment w:val="center"/>
              <w:rPr>
                <w:rFonts w:hint="eastAsia" w:ascii="宋体" w:hAnsi="宋体"/>
                <w:color w:val="000000"/>
                <w:sz w:val="18"/>
                <w:szCs w:val="18"/>
              </w:rPr>
            </w:pPr>
          </w:p>
        </w:tc>
        <w:tc>
          <w:tcPr>
            <w:tcW w:w="1080" w:type="dxa"/>
            <w:noWrap w:val="0"/>
            <w:vAlign w:val="center"/>
          </w:tcPr>
          <w:p>
            <w:pPr>
              <w:widowControl/>
              <w:jc w:val="right"/>
              <w:textAlignment w:val="center"/>
              <w:rPr>
                <w:rFonts w:hint="eastAsia" w:ascii="宋体" w:hAnsi="宋体"/>
                <w:color w:val="000000"/>
                <w:sz w:val="18"/>
                <w:szCs w:val="18"/>
              </w:rPr>
            </w:pPr>
          </w:p>
        </w:tc>
        <w:tc>
          <w:tcPr>
            <w:tcW w:w="855" w:type="dxa"/>
            <w:noWrap w:val="0"/>
            <w:vAlign w:val="center"/>
          </w:tcPr>
          <w:p>
            <w:pPr>
              <w:widowControl/>
              <w:jc w:val="right"/>
              <w:textAlignment w:val="center"/>
              <w:rPr>
                <w:rFonts w:hint="eastAsia" w:ascii="宋体" w:hAnsi="宋体"/>
                <w:color w:val="000000"/>
                <w:sz w:val="18"/>
                <w:szCs w:val="18"/>
              </w:rPr>
            </w:pPr>
          </w:p>
        </w:tc>
        <w:tc>
          <w:tcPr>
            <w:tcW w:w="765" w:type="dxa"/>
            <w:noWrap w:val="0"/>
            <w:vAlign w:val="center"/>
          </w:tcPr>
          <w:p>
            <w:pPr>
              <w:widowControl/>
              <w:jc w:val="right"/>
              <w:textAlignment w:val="center"/>
              <w:rPr>
                <w:rFonts w:hint="eastAsia" w:ascii="宋体" w:hAnsi="宋体"/>
                <w:color w:val="000000"/>
                <w:sz w:val="18"/>
                <w:szCs w:val="18"/>
              </w:rPr>
            </w:pPr>
          </w:p>
        </w:tc>
        <w:tc>
          <w:tcPr>
            <w:tcW w:w="1260" w:type="dxa"/>
            <w:noWrap w:val="0"/>
            <w:vAlign w:val="center"/>
          </w:tcPr>
          <w:p>
            <w:pPr>
              <w:widowControl/>
              <w:jc w:val="right"/>
              <w:textAlignment w:val="center"/>
              <w:rPr>
                <w:rFonts w:hint="eastAsia" w:ascii="宋体" w:hAnsi="宋体"/>
                <w:color w:val="000000"/>
                <w:sz w:val="18"/>
                <w:szCs w:val="18"/>
              </w:rPr>
            </w:pPr>
          </w:p>
        </w:tc>
        <w:tc>
          <w:tcPr>
            <w:tcW w:w="1005" w:type="dxa"/>
            <w:noWrap w:val="0"/>
            <w:vAlign w:val="center"/>
          </w:tcPr>
          <w:p>
            <w:pPr>
              <w:widowControl/>
              <w:jc w:val="right"/>
              <w:textAlignment w:val="center"/>
              <w:rPr>
                <w:rFonts w:hint="eastAsia" w:ascii="宋体" w:hAnsi="宋体"/>
                <w:color w:val="000000"/>
                <w:sz w:val="18"/>
                <w:szCs w:val="18"/>
              </w:rPr>
            </w:pPr>
          </w:p>
        </w:tc>
        <w:tc>
          <w:tcPr>
            <w:tcW w:w="795" w:type="dxa"/>
            <w:noWrap w:val="0"/>
            <w:vAlign w:val="center"/>
          </w:tcPr>
          <w:p>
            <w:pPr>
              <w:widowControl/>
              <w:jc w:val="right"/>
              <w:textAlignment w:val="center"/>
              <w:rPr>
                <w:rFonts w:hint="eastAsia" w:ascii="宋体" w:hAnsi="宋体"/>
                <w:color w:val="000000"/>
                <w:sz w:val="18"/>
                <w:szCs w:val="18"/>
              </w:rPr>
            </w:pPr>
          </w:p>
        </w:tc>
        <w:tc>
          <w:tcPr>
            <w:tcW w:w="675" w:type="dxa"/>
            <w:noWrap w:val="0"/>
            <w:vAlign w:val="center"/>
          </w:tcPr>
          <w:p>
            <w:pPr>
              <w:widowControl/>
              <w:jc w:val="right"/>
              <w:textAlignment w:val="center"/>
              <w:rPr>
                <w:rFonts w:hint="eastAsia" w:ascii="宋体" w:hAnsi="宋体"/>
                <w:color w:val="000000"/>
                <w:sz w:val="18"/>
                <w:szCs w:val="18"/>
              </w:rPr>
            </w:pPr>
          </w:p>
        </w:tc>
        <w:tc>
          <w:tcPr>
            <w:tcW w:w="750" w:type="dxa"/>
            <w:noWrap w:val="0"/>
            <w:vAlign w:val="center"/>
          </w:tcPr>
          <w:p>
            <w:pPr>
              <w:widowControl/>
              <w:jc w:val="right"/>
              <w:textAlignment w:val="center"/>
              <w:rPr>
                <w:rFonts w:hint="eastAsia" w:ascii="宋体" w:hAnsi="宋体"/>
                <w:color w:val="000000"/>
                <w:sz w:val="18"/>
                <w:szCs w:val="18"/>
              </w:rPr>
            </w:pPr>
          </w:p>
        </w:tc>
        <w:tc>
          <w:tcPr>
            <w:tcW w:w="885" w:type="dxa"/>
            <w:noWrap w:val="0"/>
            <w:vAlign w:val="center"/>
          </w:tcPr>
          <w:p>
            <w:pPr>
              <w:widowControl/>
              <w:jc w:val="right"/>
              <w:textAlignment w:val="center"/>
              <w:rPr>
                <w:rFonts w:hint="eastAsia" w:ascii="宋体" w:hAnsi="宋体"/>
                <w:color w:val="000000"/>
                <w:sz w:val="18"/>
                <w:szCs w:val="18"/>
              </w:rPr>
            </w:pPr>
          </w:p>
        </w:tc>
        <w:tc>
          <w:tcPr>
            <w:tcW w:w="870" w:type="dxa"/>
            <w:noWrap w:val="0"/>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7"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bookmarkEnd w:id="25"/>
      <w:bookmarkEnd w:id="27"/>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8"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bookmarkEnd w:id="29"/>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0"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8"/>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noWrap w:val="0"/>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noWrap w:val="0"/>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德保县人民检察院</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noWrap w:val="0"/>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noWrap w:val="0"/>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noWrap w:val="0"/>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2025</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olor w:val="000000"/>
          <w:kern w:val="0"/>
          <w:sz w:val="18"/>
          <w:szCs w:val="18"/>
          <w:lang w:val="en-US" w:eastAsia="zh-CN"/>
        </w:rPr>
      </w:pPr>
    </w:p>
    <w:p>
      <w:pPr>
        <w:rPr>
          <w:rFonts w:hint="eastAsia" w:ascii="宋体" w:hAnsi="宋体"/>
          <w:color w:val="000000"/>
          <w:kern w:val="0"/>
          <w:sz w:val="18"/>
          <w:szCs w:val="18"/>
          <w:lang w:val="en-US" w:eastAsia="zh-CN"/>
        </w:rPr>
      </w:pPr>
    </w:p>
    <w:p>
      <w:pPr>
        <w:rPr>
          <w:rFonts w:hint="eastAsia" w:ascii="宋体" w:hAnsi="宋体"/>
          <w:b/>
          <w:bCs/>
          <w:color w:val="000000"/>
          <w:kern w:val="0"/>
          <w:sz w:val="26"/>
          <w:szCs w:val="26"/>
          <w:lang w:val="en-US" w:eastAsia="zh-CN"/>
        </w:rPr>
      </w:pPr>
      <w:r>
        <w:rPr>
          <w:rFonts w:hint="eastAsia" w:ascii="宋体" w:hAnsi="宋体"/>
          <w:b/>
          <w:bCs/>
          <w:color w:val="000000"/>
          <w:kern w:val="0"/>
          <w:sz w:val="26"/>
          <w:szCs w:val="26"/>
          <w:lang w:val="en-US" w:eastAsia="zh-CN"/>
        </w:rPr>
        <w:t>表10 市本级项目绩效目标公开表（详见附件）</w:t>
      </w:r>
    </w:p>
    <w:p>
      <w:pPr>
        <w:rPr>
          <w:rFonts w:hint="eastAsia" w:ascii="宋体" w:hAnsi="宋体"/>
          <w:b/>
          <w:bCs/>
          <w:color w:val="000000"/>
          <w:kern w:val="0"/>
          <w:sz w:val="26"/>
          <w:szCs w:val="26"/>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b/>
          <w:bCs/>
          <w:color w:val="000000"/>
          <w:kern w:val="0"/>
          <w:sz w:val="26"/>
          <w:szCs w:val="26"/>
          <w:lang w:val="en-US" w:eastAsia="zh-CN"/>
        </w:rPr>
        <w:t>表11 市本级重点项目绩效目标公开表（详见附件）</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1" w:name="PO_part3Year1"/>
      <w:r>
        <w:rPr>
          <w:rFonts w:hint="eastAsia" w:ascii="黑体" w:hAnsi="黑体" w:eastAsia="黑体" w:cs="方正小标宋简体"/>
          <w:sz w:val="44"/>
          <w:szCs w:val="44"/>
          <w:lang w:val="en-US" w:eastAsia="zh-CN"/>
        </w:rPr>
        <w:t>德保县人民检察院 2025</w:t>
      </w:r>
      <w:r>
        <w:rPr>
          <w:rFonts w:ascii="方正小标宋简体" w:hAnsi="方正小标宋简体" w:eastAsia="方正小标宋简体" w:cs="方正小标宋简体"/>
          <w:sz w:val="11"/>
          <w:szCs w:val="11"/>
        </w:rPr>
        <w:t xml:space="preserve"> </w:t>
      </w:r>
      <w:bookmarkEnd w:id="31"/>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11"/>
          <w:szCs w:val="11"/>
        </w:rPr>
      </w:pPr>
      <w:bookmarkStart w:id="32" w:name="PO_part3A1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32"/>
      <w:r>
        <w:rPr>
          <w:rFonts w:hint="eastAsia" w:ascii="仿宋_GB2312" w:hAnsi="仿宋_GB2312" w:eastAsia="仿宋_GB2312" w:cs="仿宋_GB2312"/>
          <w:sz w:val="30"/>
          <w:szCs w:val="30"/>
        </w:rPr>
        <w:t>年本单位</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收入973.77万元，</w:t>
      </w:r>
      <w:bookmarkStart w:id="33" w:name="PO_part3A1IncAmount1"/>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66.08万元，下降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6.35%，</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主要原因是：</w:t>
      </w:r>
      <w:bookmarkStart w:id="34" w:name="PO_part3A1IncReason1"/>
      <w:r>
        <w:rPr>
          <w:rFonts w:hint="eastAsia" w:ascii="仿宋_GB2312" w:hAnsi="仿宋_GB2312" w:eastAsia="仿宋_GB2312" w:cs="仿宋_GB2312"/>
          <w:sz w:val="30"/>
          <w:szCs w:val="30"/>
        </w:rPr>
        <w:t>人员减少，经费减少；</w:t>
      </w:r>
      <w:r>
        <w:rPr>
          <w:rFonts w:hint="eastAsia" w:ascii="仿宋_GB2312" w:hAnsi="仿宋_GB2312" w:eastAsia="仿宋_GB2312" w:cs="仿宋_GB2312"/>
          <w:sz w:val="11"/>
          <w:szCs w:val="11"/>
        </w:rPr>
        <w:t xml:space="preserve"> </w:t>
      </w:r>
      <w:bookmarkEnd w:id="34"/>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5" w:name="PO_part3A1Amount2"/>
      <w:r>
        <w:rPr>
          <w:rFonts w:hint="eastAsia" w:ascii="仿宋_GB2312" w:hAnsi="仿宋_GB2312" w:eastAsia="仿宋_GB2312" w:cs="仿宋_GB2312"/>
          <w:sz w:val="30"/>
          <w:szCs w:val="30"/>
        </w:rPr>
        <w:t>973.77</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万元（不含财政拨款上年未列支结转收支数），</w:t>
      </w:r>
      <w:bookmarkStart w:id="36" w:name="PO_part3A1IncAmount2"/>
      <w:r>
        <w:rPr>
          <w:rFonts w:hint="eastAsia" w:ascii="仿宋_GB2312" w:hAnsi="仿宋_GB2312" w:eastAsia="仿宋_GB2312" w:cs="仿宋_GB2312"/>
          <w:sz w:val="30"/>
          <w:szCs w:val="30"/>
        </w:rPr>
        <w:t>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66.08</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6.35%，</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2"/>
      <w:r>
        <w:rPr>
          <w:rFonts w:hint="eastAsia" w:ascii="仿宋_GB2312" w:hAnsi="仿宋_GB2312" w:eastAsia="仿宋_GB2312" w:cs="仿宋_GB2312"/>
          <w:sz w:val="30"/>
          <w:szCs w:val="30"/>
        </w:rPr>
        <w:t>人员减少，支出减少。</w:t>
      </w:r>
      <w:r>
        <w:rPr>
          <w:rFonts w:hint="eastAsia" w:ascii="仿宋_GB2312" w:hAnsi="仿宋_GB2312" w:eastAsia="仿宋_GB2312" w:cs="仿宋_GB2312"/>
          <w:sz w:val="11"/>
          <w:szCs w:val="11"/>
        </w:rPr>
        <w:t xml:space="preserve"> </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220" w:firstLineChars="200"/>
        <w:textAlignment w:val="auto"/>
        <w:rPr>
          <w:rFonts w:hint="eastAsia" w:ascii="仿宋_GB2312" w:hAnsi="仿宋_GB2312" w:eastAsia="仿宋_GB2312" w:cs="仿宋_GB2312"/>
          <w:sz w:val="11"/>
          <w:szCs w:val="11"/>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年收入总预算</w:t>
      </w:r>
      <w:bookmarkStart w:id="38" w:name="PO_part3A2Amount1"/>
      <w:r>
        <w:rPr>
          <w:rFonts w:hint="eastAsia" w:ascii="仿宋_GB2312" w:hAnsi="仿宋_GB2312" w:eastAsia="仿宋_GB2312" w:cs="仿宋_GB2312"/>
          <w:sz w:val="30"/>
          <w:szCs w:val="30"/>
        </w:rPr>
        <w:t>973.77</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bookmarkStart w:id="39" w:name="PO_part3A2IncAmount1"/>
      <w:r>
        <w:rPr>
          <w:rFonts w:hint="eastAsia" w:ascii="仿宋_GB2312" w:hAnsi="仿宋_GB2312" w:eastAsia="仿宋_GB2312" w:cs="仿宋_GB2312"/>
          <w:sz w:val="30"/>
          <w:szCs w:val="30"/>
        </w:rPr>
        <w:t xml:space="preserve">比上年减少66.08万元，下降6.35%。 </w:t>
      </w:r>
      <w:bookmarkEnd w:id="39"/>
      <w:r>
        <w:rPr>
          <w:rFonts w:hint="eastAsia" w:ascii="仿宋_GB2312" w:hAnsi="仿宋_GB2312" w:eastAsia="仿宋_GB2312" w:cs="仿宋_GB2312"/>
          <w:sz w:val="30"/>
          <w:szCs w:val="30"/>
        </w:rPr>
        <w:t>其中：</w:t>
      </w:r>
      <w:bookmarkStart w:id="40" w:name="PO_part3A2IncReason1"/>
      <w:r>
        <w:rPr>
          <w:rFonts w:hint="eastAsia" w:ascii="仿宋_GB2312" w:hAnsi="仿宋_GB2312" w:eastAsia="仿宋_GB2312" w:cs="仿宋_GB2312"/>
          <w:sz w:val="30"/>
          <w:szCs w:val="30"/>
        </w:rPr>
        <w:t xml:space="preserve">一般公共预算收入973.77万元，占收入总预算100.00%，比上年减少66.08万元，下降6.35%；政府性基金预算收入0万元，占收入总预算0.00%，与上年持平，无增减变化；国有资本经营预算0万元，占收入总预算0.00%，与上年持平，无增减变化；财政专户管理资金0万元，占收入总预算0.00%，与上年持平，无增减变化；单位资金0万元，占收入总预算0.00%，与上年持平，无增减变化；上年结转结余0万元，占收入总预算0.00%，与上年持平，无增减变化。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年收入预算总体</w:t>
      </w:r>
      <w:bookmarkStart w:id="41" w:name="PO_part3A2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2IncReason2"/>
      <w:r>
        <w:rPr>
          <w:rFonts w:hint="eastAsia" w:ascii="仿宋_GB2312" w:hAnsi="仿宋_GB2312" w:eastAsia="仿宋_GB2312" w:cs="仿宋_GB2312"/>
          <w:sz w:val="30"/>
          <w:szCs w:val="30"/>
        </w:rPr>
        <w:t>人员减少，经费减少。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3" w:name="PO_part3A3Amount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年支出总预算</w:t>
      </w:r>
      <w:bookmarkStart w:id="44" w:name="PO_part3A3Amount2"/>
      <w:r>
        <w:rPr>
          <w:rFonts w:hint="eastAsia" w:ascii="仿宋_GB2312" w:hAnsi="仿宋_GB2312" w:eastAsia="仿宋_GB2312" w:cs="仿宋_GB2312"/>
          <w:sz w:val="30"/>
          <w:szCs w:val="30"/>
        </w:rPr>
        <w:t>973.77</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万元，其中：基本支出预算</w:t>
      </w:r>
      <w:bookmarkStart w:id="45" w:name="PO_part3A3Amount3"/>
      <w:r>
        <w:rPr>
          <w:rFonts w:hint="eastAsia" w:ascii="仿宋_GB2312" w:hAnsi="仿宋_GB2312" w:eastAsia="仿宋_GB2312" w:cs="仿宋_GB2312"/>
          <w:sz w:val="30"/>
          <w:szCs w:val="30"/>
        </w:rPr>
        <w:t>898.77</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万元，占支出总预算</w:t>
      </w:r>
      <w:bookmarkStart w:id="46" w:name="PO_part3A3Amount4"/>
      <w:r>
        <w:rPr>
          <w:rFonts w:hint="eastAsia" w:ascii="仿宋_GB2312" w:hAnsi="仿宋_GB2312" w:eastAsia="仿宋_GB2312" w:cs="仿宋_GB2312"/>
          <w:sz w:val="30"/>
          <w:szCs w:val="30"/>
        </w:rPr>
        <w:t>92.30</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w:t>
      </w:r>
      <w:bookmarkStart w:id="47" w:name="PO_part3A3IncReason1"/>
      <w:r>
        <w:rPr>
          <w:rFonts w:hint="eastAsia" w:ascii="仿宋_GB2312" w:hAnsi="仿宋_GB2312" w:eastAsia="仿宋_GB2312" w:cs="仿宋_GB2312"/>
          <w:sz w:val="30"/>
          <w:szCs w:val="30"/>
        </w:rPr>
        <w:t>比上年减少64.08万元，下降6.66%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主要原因是：人员减少，支出减少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项目支出预算</w:t>
      </w:r>
      <w:bookmarkStart w:id="48" w:name="PO_part3A3Amount5"/>
      <w:r>
        <w:rPr>
          <w:rFonts w:hint="eastAsia" w:ascii="仿宋_GB2312" w:hAnsi="仿宋_GB2312" w:eastAsia="仿宋_GB2312" w:cs="仿宋_GB2312"/>
          <w:sz w:val="30"/>
          <w:szCs w:val="30"/>
        </w:rPr>
        <w:t>75</w:t>
      </w:r>
      <w:bookmarkEnd w:id="48"/>
      <w:r>
        <w:rPr>
          <w:rFonts w:hint="eastAsia" w:ascii="仿宋_GB2312" w:hAnsi="仿宋_GB2312" w:eastAsia="仿宋_GB2312" w:cs="仿宋_GB2312"/>
          <w:sz w:val="30"/>
          <w:szCs w:val="30"/>
        </w:rPr>
        <w:t>万元，占支出总预算</w:t>
      </w:r>
      <w:bookmarkStart w:id="49" w:name="PO_part3A3Amount6"/>
      <w:r>
        <w:rPr>
          <w:rFonts w:hint="eastAsia" w:ascii="仿宋_GB2312" w:hAnsi="仿宋_GB2312" w:eastAsia="仿宋_GB2312" w:cs="仿宋_GB2312"/>
          <w:sz w:val="30"/>
          <w:szCs w:val="30"/>
        </w:rPr>
        <w:t>7.70</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2"/>
      <w:r>
        <w:rPr>
          <w:rFonts w:hint="eastAsia" w:ascii="仿宋_GB2312" w:hAnsi="仿宋_GB2312" w:eastAsia="仿宋_GB2312" w:cs="仿宋_GB2312"/>
          <w:sz w:val="30"/>
          <w:szCs w:val="30"/>
        </w:rPr>
        <w:t>比上年减少2万元，下降2.60%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主要原因是：人员减少，项目资金减少。</w:t>
      </w:r>
      <w:bookmarkEnd w:id="50"/>
      <w:bookmarkStart w:id="51"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2" w:name="PO_part3A4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年财政拨款收入总预算973.77万元，</w:t>
      </w:r>
      <w:bookmarkStart w:id="53" w:name="PO_part3A4IncAmount1"/>
      <w:r>
        <w:rPr>
          <w:rFonts w:hint="eastAsia" w:ascii="仿宋_GB2312" w:hAnsi="仿宋_GB2312" w:eastAsia="仿宋_GB2312" w:cs="仿宋_GB2312"/>
          <w:sz w:val="30"/>
          <w:szCs w:val="30"/>
        </w:rPr>
        <w:t>比上年减少66.08万元，下降6.35%。</w:t>
      </w:r>
      <w:bookmarkEnd w:id="53"/>
      <w:bookmarkStart w:id="54" w:name="PO_part3A4IncReason1"/>
      <w:r>
        <w:rPr>
          <w:rFonts w:hint="eastAsia" w:ascii="仿宋_GB2312" w:hAnsi="仿宋_GB2312" w:eastAsia="仿宋_GB2312" w:cs="仿宋_GB2312"/>
          <w:sz w:val="30"/>
          <w:szCs w:val="30"/>
        </w:rPr>
        <w:t>收入包括：一般公共预算拨款973.77万元；政府性基金预算拨款0.00万元；国有资本经营预算拨款0.00万元；上年结转结余0.00万元。</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财政拨款</w:t>
      </w:r>
      <w:bookmarkStart w:id="55" w:name="PO_part3A4IncAmount2"/>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bookmarkStart w:id="56" w:name="PO_part3A4IncReason2"/>
      <w:r>
        <w:rPr>
          <w:rFonts w:hint="eastAsia" w:ascii="仿宋_GB2312" w:hAnsi="仿宋_GB2312" w:eastAsia="仿宋_GB2312" w:cs="仿宋_GB2312"/>
          <w:sz w:val="30"/>
          <w:szCs w:val="30"/>
        </w:rPr>
        <w:t>人员减少，经费减少。</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年财政拨款支出总预算973.77万元，</w:t>
      </w:r>
      <w:bookmarkStart w:id="57" w:name="PO_part3A4IncAmount3"/>
      <w:r>
        <w:rPr>
          <w:rFonts w:hint="eastAsia" w:ascii="仿宋_GB2312" w:hAnsi="仿宋_GB2312" w:eastAsia="仿宋_GB2312" w:cs="仿宋_GB2312"/>
          <w:sz w:val="30"/>
          <w:szCs w:val="30"/>
        </w:rPr>
        <w:t>比上年减少66.08万元，下降6.35%。</w:t>
      </w:r>
      <w:r>
        <w:rPr>
          <w:rFonts w:hint="eastAsia" w:ascii="仿宋_GB2312" w:hAnsi="仿宋_GB2312" w:eastAsia="仿宋_GB2312" w:cs="仿宋_GB2312"/>
          <w:sz w:val="11"/>
          <w:szCs w:val="11"/>
        </w:rPr>
        <w:t xml:space="preserve"> </w:t>
      </w:r>
      <w:bookmarkEnd w:id="57"/>
      <w:bookmarkStart w:id="58" w:name="PO_part3A4IncReason3"/>
      <w:r>
        <w:rPr>
          <w:rFonts w:hint="eastAsia" w:ascii="仿宋_GB2312" w:hAnsi="仿宋_GB2312" w:eastAsia="仿宋_GB2312" w:cs="仿宋_GB2312"/>
          <w:sz w:val="30"/>
          <w:szCs w:val="30"/>
        </w:rPr>
        <w:t>支出包括：一般公共服务支出1万元、公共安全支出708.04万元、社会保障和就业支出145.64万元、卫生健康支出58.02万元、住房保障支出61.08万元。</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财政拨款支出</w:t>
      </w:r>
      <w:bookmarkStart w:id="59" w:name="PO_part3A4IncAmount4"/>
      <w:r>
        <w:rPr>
          <w:rFonts w:hint="eastAsia" w:ascii="仿宋_GB2312" w:hAnsi="仿宋_GB2312" w:eastAsia="仿宋_GB2312" w:cs="仿宋_GB2312"/>
          <w:sz w:val="30"/>
          <w:szCs w:val="30"/>
        </w:rPr>
        <w:t>减少</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4IncReason4"/>
      <w:r>
        <w:rPr>
          <w:rFonts w:hint="eastAsia" w:ascii="仿宋_GB2312" w:hAnsi="仿宋_GB2312" w:eastAsia="仿宋_GB2312" w:cs="仿宋_GB2312"/>
          <w:sz w:val="30"/>
          <w:szCs w:val="30"/>
        </w:rPr>
        <w:t>人员减少，支出减少。</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1" w:name="PO_part3A5Year1"/>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年一般公共预算拨款支出</w:t>
      </w:r>
      <w:bookmarkStart w:id="62" w:name="PO_part3A5Amount1"/>
      <w:r>
        <w:rPr>
          <w:rFonts w:hint="eastAsia" w:ascii="仿宋_GB2312" w:hAnsi="仿宋_GB2312" w:eastAsia="仿宋_GB2312" w:cs="仿宋_GB2312"/>
          <w:sz w:val="30"/>
          <w:szCs w:val="30"/>
        </w:rPr>
        <w:t>973.77</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5IncAmount1"/>
      <w:r>
        <w:rPr>
          <w:rFonts w:hint="eastAsia" w:ascii="仿宋_GB2312" w:hAnsi="仿宋_GB2312" w:eastAsia="仿宋_GB2312" w:cs="仿宋_GB2312"/>
          <w:sz w:val="30"/>
          <w:szCs w:val="30"/>
        </w:rPr>
        <w:t>比上年减少66.08万元，下降6.35%。</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其中：基本支出898.77万元，项目支出75万元。具体支出预算如下：</w:t>
      </w:r>
      <w:bookmarkStart w:id="64"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一般公共服务支出（类）其他共产党事务支出（款）其他共产党事务支出（项）支出1万元，与上年持平，无增减变化。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公共安全支出（类）检察（款）行政运行（项）支出634.04万元，比上年减少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21.35万元，下降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3.26%。主要原因是：人员变动。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公共安全支出（类）检察（款）一般行政管理事务（项）支出74万元，比上年减少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2.63%。主要原因是：人员变动。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社会保障和就业支出（类）行政事业单位养老支出（款）行政单位离退休（项）支出30.34万元，比上年增加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8.86万元，增长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41.25%。主要原因是：人员结构变动，退休人员增加。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社会保障和就业支出（类）行政事业单位养老支出（款）机关事业单位基本养老保险缴费支出（项）支出74.58万元，比上年减少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26.39万元，下降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26.14%。主要原因是：人员结构变动，基本养老保险基数调整。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社会保障和就业支出（类）行政事业单位养老支出（款）机关事业单位职业年金缴费支出（项）支出40.72万元，比上年减少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9.76万元，下降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19.33%。主要原因是：人员结构变动，职业年金基数调整。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卫生健康支出（类）行政事业单位医疗（款）行政单位医疗（项）支出37.66万元，比上年减少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9.04万元，下降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19.36%。主要原因是：人员结构变动，医疗基数调整。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卫生健康支出（类）行政事业单位医疗（款）公务员医疗补助（项）支出20.36万元，比上年减少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4.88万元，下降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19.33%。主要原因是：人员结构变动，公务员医疗补助基数调整。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住房保障支出（类）住房改革支出（款）住房公积金（项）支出61.08万元，比上年减少</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1.51万元，下降</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2.41%。主要原因是：人员结构变动，住房公积金基数调整。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年一般公共预算基本支出</w:t>
      </w:r>
      <w:bookmarkStart w:id="65" w:name="PO_part3A6Amount1"/>
      <w:r>
        <w:rPr>
          <w:rFonts w:hint="eastAsia" w:ascii="仿宋_GB2312" w:hAnsi="仿宋_GB2312" w:eastAsia="仿宋_GB2312" w:cs="仿宋_GB2312"/>
          <w:sz w:val="30"/>
          <w:szCs w:val="30"/>
        </w:rPr>
        <w:t>898.77</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6IncAmount1"/>
      <w:r>
        <w:rPr>
          <w:rFonts w:hint="eastAsia" w:ascii="仿宋_GB2312" w:hAnsi="仿宋_GB2312" w:eastAsia="仿宋_GB2312" w:cs="仿宋_GB2312"/>
          <w:sz w:val="30"/>
          <w:szCs w:val="30"/>
        </w:rPr>
        <w:t>比上年减少64.08万元，下降6.66%。</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7" w:name="PO_part3A6Amount2"/>
      <w:r>
        <w:rPr>
          <w:rFonts w:hint="eastAsia" w:ascii="仿宋_GB2312" w:hAnsi="仿宋_GB2312" w:eastAsia="仿宋_GB2312" w:cs="仿宋_GB2312"/>
          <w:sz w:val="30"/>
          <w:szCs w:val="30"/>
        </w:rPr>
        <w:t>808.36</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2"/>
      <w:r>
        <w:rPr>
          <w:rFonts w:hint="eastAsia" w:ascii="仿宋_GB2312" w:hAnsi="仿宋_GB2312" w:eastAsia="仿宋_GB2312" w:cs="仿宋_GB2312"/>
          <w:sz w:val="30"/>
          <w:szCs w:val="30"/>
        </w:rPr>
        <w:t>比上年减少59.94万元，下降6.90%</w:t>
      </w:r>
      <w:r>
        <w:rPr>
          <w:rFonts w:hint="eastAsia" w:ascii="仿宋_GB2312" w:hAnsi="仿宋_GB2312" w:eastAsia="仿宋_GB2312" w:cs="仿宋_GB2312"/>
          <w:sz w:val="30"/>
          <w:szCs w:val="30"/>
          <w:lang w:eastAsia="zh-CN"/>
        </w:rPr>
        <w:t>，</w:t>
      </w:r>
      <w:bookmarkEnd w:id="68"/>
      <w:r>
        <w:rPr>
          <w:rFonts w:hint="eastAsia" w:ascii="仿宋_GB2312" w:hAnsi="仿宋_GB2312" w:eastAsia="仿宋_GB2312" w:cs="仿宋_GB2312"/>
          <w:sz w:val="30"/>
          <w:szCs w:val="30"/>
        </w:rPr>
        <w:t>主要包括：</w:t>
      </w:r>
      <w:bookmarkStart w:id="69"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工资福利支出（类）基本工资（款）支出167.39万元。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工资福利支出（类）津贴补贴（款）支出112.95万元。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工资福利支出（类）奖金（款）支出114.63万元。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工资福利支出（类）机关事业单位基本养老保险缴费（款）支出74.58万元。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工资福利支出（类）职业年金缴费（款）支出40.72万元。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工资福利支出（类）职工基本医疗保险缴费（款）支出37.15万元。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工资福利支出（类）公务员医疗补助缴费（款）支出20.36万元。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工资福利支出（类）其他社会保障缴费（款）支出0.51万元。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工资福利支出（类）住房公积金（款）支出61.08万元。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工资福利支出（类）其他工资福利支出（款）支出144.66万元。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对个人和家庭的补助（类）退休费（款）支出25.45万元。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对个人和家庭的补助（类）生活补助（款）支出4.32万元。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对个人和家庭的补助（类）医疗费补助（款）支出4.56万元。</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公用经费90.41万元，</w:t>
      </w:r>
      <w:bookmarkStart w:id="70" w:name="PO_part3A6IncAmount3"/>
      <w:r>
        <w:rPr>
          <w:rFonts w:hint="eastAsia" w:ascii="仿宋_GB2312" w:hAnsi="仿宋_GB2312" w:eastAsia="仿宋_GB2312" w:cs="仿宋_GB2312"/>
          <w:sz w:val="30"/>
          <w:szCs w:val="30"/>
        </w:rPr>
        <w:t>比上年减少4.14万元，下降4.38%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主要包括：</w:t>
      </w:r>
      <w:bookmarkStart w:id="71"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商品和服务支出（类）办公费（款）支出2.76万元。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商品和服务支出（类）水费（款）支出1.5万元。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商品和服务支出（类）电费（款）支出13万元。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商品和服务支出（类）邮电费（款）支出5.05万元。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商品和服务支出（类）培训费（款）支出6万元。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商品和服务支出（类）福利费（款）支出2.74万元。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商品和服务支出（类）公务用车运行维护费（款）支出11万元。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商品和服务支出（类）其他交通费用（款）支出33.24万元。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商品和服务支出（类）其他商品和服务支出（款）支出15.12万元。</w:t>
      </w:r>
    </w:p>
    <w:bookmarkEnd w:id="71"/>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US" w:eastAsia="zh-CN"/>
        </w:rPr>
        <w:t>2025年一般公共预算安排的“三公”经费支出预算17万元，同口径比</w:t>
      </w:r>
      <w:r>
        <w:rPr>
          <w:rFonts w:hint="eastAsia" w:ascii="仿宋_GB2312" w:hAnsi="仿宋_GB2312" w:eastAsia="仿宋_GB2312" w:cs="仿宋_GB2312"/>
          <w:sz w:val="30"/>
          <w:szCs w:val="30"/>
        </w:rPr>
        <w:t>2024</w:t>
      </w:r>
      <w:r>
        <w:rPr>
          <w:rFonts w:hint="eastAsia" w:ascii="仿宋_GB2312" w:hAnsi="仿宋_GB2312" w:eastAsia="仿宋_GB2312" w:cs="仿宋_GB2312"/>
          <w:sz w:val="30"/>
          <w:szCs w:val="30"/>
          <w:lang w:val="en-US" w:eastAsia="zh-CN"/>
        </w:rPr>
        <w:t>年预算</w:t>
      </w:r>
      <w:bookmarkStart w:id="72" w:name="PO_part3A7Amount9"/>
      <w:r>
        <w:rPr>
          <w:rFonts w:hint="eastAsia" w:ascii="仿宋_GB2312" w:hAnsi="仿宋_GB2312" w:eastAsia="仿宋_GB2312" w:cs="仿宋_GB2312"/>
          <w:sz w:val="30"/>
          <w:szCs w:val="30"/>
          <w:lang w:val="en-US" w:eastAsia="zh-CN"/>
        </w:rPr>
        <w:t xml:space="preserve">14 </w:t>
      </w:r>
      <w:bookmarkEnd w:id="72"/>
      <w:r>
        <w:rPr>
          <w:rFonts w:hint="eastAsia" w:ascii="仿宋_GB2312" w:hAnsi="仿宋_GB2312" w:eastAsia="仿宋_GB2312" w:cs="仿宋_GB2312"/>
          <w:sz w:val="30"/>
          <w:szCs w:val="30"/>
          <w:lang w:val="en-US" w:eastAsia="zh-CN"/>
        </w:rPr>
        <w:t>万元，增加3万元，增长21.43%</w:t>
      </w:r>
      <w:bookmarkStart w:id="73" w:name="PO_part3A7IncAmount1"/>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4" w:name="PO_part3A7Amount10"/>
      <w:r>
        <w:rPr>
          <w:rFonts w:hint="eastAsia" w:ascii="仿宋_GB2312" w:hAnsi="仿宋_GB2312" w:eastAsia="仿宋_GB2312" w:cs="仿宋_GB2312"/>
          <w:sz w:val="30"/>
          <w:szCs w:val="30"/>
        </w:rPr>
        <w:t>0</w:t>
      </w:r>
      <w:r>
        <w:rPr>
          <w:rFonts w:hint="eastAsia"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5" w:name="PO_part3A7Amount11"/>
      <w:r>
        <w:rPr>
          <w:rFonts w:hint="eastAsia" w:ascii="仿宋_GB2312" w:hAnsi="仿宋_GB2312" w:eastAsia="仿宋_GB2312" w:cs="仿宋_GB2312"/>
          <w:sz w:val="30"/>
          <w:szCs w:val="30"/>
        </w:rPr>
        <w:t>6</w:t>
      </w:r>
      <w:bookmarkEnd w:id="75"/>
      <w:r>
        <w:rPr>
          <w:rFonts w:hint="eastAsia" w:ascii="仿宋_GB2312" w:hAnsi="仿宋_GB2312" w:eastAsia="仿宋_GB2312" w:cs="仿宋_GB2312"/>
          <w:sz w:val="30"/>
          <w:szCs w:val="30"/>
        </w:rPr>
        <w:t>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公务接待费主要用于：</w:t>
      </w:r>
      <w:bookmarkStart w:id="76" w:name="PO_part3A7IncReason4"/>
      <w:r>
        <w:rPr>
          <w:rFonts w:hint="eastAsia" w:ascii="仿宋_GB2312" w:hAnsi="仿宋_GB2312" w:eastAsia="仿宋_GB2312" w:cs="仿宋_GB2312"/>
          <w:sz w:val="30"/>
          <w:szCs w:val="30"/>
        </w:rPr>
        <w:t xml:space="preserve">安排接待上级院及兄弟院有关领导来我院参加各类会议、重大活动和调研考察等公务活动的接待费用，以及开展业务活动需要开支的公务接待费用。 </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w:t>
      </w:r>
      <w:bookmarkStart w:id="77" w:name="PO_part3A7Amount12"/>
      <w:r>
        <w:rPr>
          <w:rFonts w:hint="eastAsia" w:ascii="仿宋_GB2312" w:hAnsi="仿宋_GB2312" w:eastAsia="仿宋_GB2312" w:cs="仿宋_GB2312"/>
          <w:sz w:val="30"/>
          <w:szCs w:val="30"/>
        </w:rPr>
        <w:t>11</w:t>
      </w:r>
      <w:r>
        <w:rPr>
          <w:rFonts w:hint="eastAsia"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比上年增加3万元，增长37.50%，</w:t>
      </w:r>
      <w:r>
        <w:rPr>
          <w:rFonts w:hint="eastAsia" w:ascii="仿宋_GB2312" w:hAnsi="仿宋_GB2312" w:eastAsia="仿宋_GB2312" w:cs="仿宋_GB2312"/>
          <w:sz w:val="30"/>
          <w:szCs w:val="30"/>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w:t>
      </w:r>
      <w:r>
        <w:rPr>
          <w:rFonts w:hint="eastAsia" w:ascii="仿宋_GB2312" w:hAnsi="仿宋_GB2312" w:eastAsia="仿宋_GB2312" w:cs="仿宋_GB2312"/>
          <w:sz w:val="30"/>
          <w:szCs w:val="30"/>
          <w:lang w:val="en-US" w:eastAsia="zh-CN"/>
        </w:rPr>
        <w:t>维护</w:t>
      </w:r>
      <w:r>
        <w:rPr>
          <w:rFonts w:hint="eastAsia" w:ascii="仿宋_GB2312" w:hAnsi="仿宋_GB2312" w:eastAsia="仿宋_GB2312" w:cs="仿宋_GB2312"/>
          <w:sz w:val="30"/>
          <w:szCs w:val="30"/>
        </w:rPr>
        <w:t>费预算11万元，</w:t>
      </w:r>
      <w:bookmarkStart w:id="78" w:name="PO_part3A7IncAmount5"/>
      <w:r>
        <w:rPr>
          <w:rFonts w:hint="eastAsia" w:ascii="仿宋_GB2312" w:hAnsi="仿宋_GB2312" w:eastAsia="仿宋_GB2312" w:cs="仿宋_GB2312"/>
          <w:sz w:val="30"/>
          <w:szCs w:val="30"/>
        </w:rPr>
        <w:t>比上年增加3万元，增长37.50%，</w:t>
      </w:r>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主要原因是：</w:t>
      </w:r>
      <w:bookmarkStart w:id="79" w:name="PO_part3A7IncReason6"/>
      <w:r>
        <w:rPr>
          <w:rFonts w:hint="eastAsia" w:ascii="仿宋_GB2312" w:hAnsi="仿宋_GB2312" w:eastAsia="仿宋_GB2312" w:cs="仿宋_GB2312"/>
          <w:sz w:val="30"/>
          <w:szCs w:val="30"/>
        </w:rPr>
        <w:t xml:space="preserve">公务业务增加，维修维护费增加。 </w:t>
      </w:r>
      <w:bookmarkEnd w:id="79"/>
      <w:bookmarkStart w:id="80"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8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德保县人民检察院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德保县人民检察院 2025</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81" w:name="PO_part3A10Year1"/>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2025</w:t>
      </w:r>
      <w:bookmarkEnd w:id="81"/>
      <w:r>
        <w:rPr>
          <w:rFonts w:hint="eastAsia" w:ascii="仿宋_GB2312" w:hAnsi="仿宋_GB2312" w:eastAsia="仿宋_GB2312" w:cs="仿宋_GB2312"/>
          <w:sz w:val="30"/>
          <w:szCs w:val="30"/>
        </w:rPr>
        <w:t>年，本单位机关运行经费安排90.41万元，</w:t>
      </w:r>
      <w:bookmarkStart w:id="82" w:name="PO_part3A10IncAmount1"/>
      <w:r>
        <w:rPr>
          <w:rFonts w:hint="eastAsia" w:ascii="仿宋_GB2312" w:hAnsi="仿宋_GB2312" w:eastAsia="仿宋_GB2312" w:cs="仿宋_GB2312"/>
          <w:sz w:val="30"/>
          <w:szCs w:val="30"/>
        </w:rPr>
        <w:t>比上年减少4.14万元，下降4.38%，</w:t>
      </w:r>
      <w:r>
        <w:rPr>
          <w:rFonts w:hint="eastAsia"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主要原因是：</w:t>
      </w:r>
      <w:bookmarkStart w:id="83" w:name="PO_part3A10IncReason1"/>
      <w:r>
        <w:rPr>
          <w:rFonts w:hint="eastAsia" w:ascii="仿宋_GB2312" w:hAnsi="仿宋_GB2312" w:eastAsia="仿宋_GB2312" w:cs="仿宋_GB2312"/>
          <w:sz w:val="30"/>
          <w:szCs w:val="30"/>
        </w:rPr>
        <w:t>人员减少，经费减少。</w:t>
      </w:r>
      <w:bookmarkEnd w:id="83"/>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84" w:name="PO_part3A10Year2"/>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年本单位政府采购安排48.45万元，</w:t>
      </w:r>
      <w:bookmarkStart w:id="85" w:name="PO_part3A10IncAmount2"/>
      <w:r>
        <w:rPr>
          <w:rFonts w:hint="eastAsia" w:ascii="仿宋_GB2312" w:hAnsi="仿宋_GB2312" w:eastAsia="仿宋_GB2312" w:cs="仿宋_GB2312"/>
          <w:sz w:val="30"/>
          <w:szCs w:val="30"/>
        </w:rPr>
        <w:t>比上年增加35.95万元，增长287.6%。</w:t>
      </w:r>
      <w:r>
        <w:rPr>
          <w:rFonts w:hint="eastAsia"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其中：政府集中采购预算0万元，分散采购预算48.45万元</w:t>
      </w:r>
      <w:bookmarkStart w:id="86" w:name="PO_part3A10IncAmount4"/>
      <w:r>
        <w:rPr>
          <w:rFonts w:hint="eastAsia" w:ascii="仿宋_GB2312" w:hAnsi="仿宋_GB2312" w:eastAsia="仿宋_GB2312" w:cs="仿宋_GB2312"/>
          <w:sz w:val="30"/>
          <w:szCs w:val="30"/>
        </w:rPr>
        <w:t>。</w:t>
      </w:r>
      <w:r>
        <w:rPr>
          <w:rFonts w:hint="eastAsia" w:ascii="仿宋_GB2312" w:hAnsi="仿宋_GB2312" w:eastAsia="仿宋_GB2312" w:cs="仿宋_GB2312"/>
          <w:sz w:val="11"/>
          <w:szCs w:val="11"/>
        </w:rPr>
        <w:t xml:space="preserve"> </w:t>
      </w:r>
      <w:bookmarkEnd w:id="8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rPr>
        <w:t>按政府采购项目类型分为货物类采购、工程类采购和服务类采购三种类型。其中：货物类采购预算5万元，工程类采购预算0万元，服务类采购预算43.45万元等。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无</w:t>
      </w:r>
      <w:r>
        <w:rPr>
          <w:rFonts w:hint="eastAsia" w:ascii="仿宋_GB2312" w:hAnsi="仿宋_GB2312" w:eastAsia="仿宋_GB2312" w:cs="仿宋_GB2312"/>
          <w:sz w:val="30"/>
          <w:szCs w:val="30"/>
          <w:lang w:eastAsia="zh-CN"/>
        </w:rPr>
        <w:t>。</w:t>
      </w:r>
    </w:p>
    <w:p>
      <w:pPr>
        <w:ind w:left="630"/>
        <w:outlineLvl w:val="2"/>
        <w:rPr>
          <w:rFonts w:hint="eastAsia" w:ascii="黑体" w:hAnsi="黑体" w:eastAsia="黑体" w:cs="黑体"/>
          <w:sz w:val="32"/>
          <w:szCs w:val="32"/>
          <w:lang w:eastAsia="zh-CN"/>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截至2024年12月31日，我单位实有在编车辆7辆，其中：一般公务用车0辆，执法执勤用车7辆，其他业务用车0辆。车辆具体占用情况如下：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德保县人民检察院</w:t>
      </w:r>
      <w:r>
        <w:rPr>
          <w:rFonts w:hint="eastAsia" w:ascii="仿宋_GB2312" w:hAnsi="仿宋_GB2312" w:eastAsia="仿宋_GB2312" w:cs="仿宋_GB2312"/>
          <w:sz w:val="30"/>
          <w:szCs w:val="30"/>
        </w:rPr>
        <w:t>单位7辆，包括0辆一般公务用车，7辆执法执勤用车，0辆其他业务用车。</w:t>
      </w: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）预算绩效目标等情况说明</w:t>
      </w:r>
      <w:bookmarkStart w:id="87" w:name="PO_part3A10IncReason2"/>
      <w:r>
        <w:rPr>
          <w:rFonts w:hint="eastAsia" w:ascii="仿宋_GB2312" w:hAnsi="仿宋_GB2312" w:eastAsia="仿宋_GB2312" w:cs="仿宋_GB2312"/>
          <w:sz w:val="32"/>
          <w:szCs w:val="32"/>
        </w:rPr>
        <w:t xml:space="preserve"> </w:t>
      </w:r>
      <w:bookmarkEnd w:id="8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1.我单位</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年所有项目支出全面实施绩效目标管理，涉及市本级项目4个，预算资金75万元。绩效目标情况详见报表10。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重点项目一：项目名称地方办案(业务)经费，预算资金14.55万元，</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年度绩效目标为保障检察院办公办案正常运行，维护公平正义、维护社会稳定，绩效指标情况详见报表11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ZWMzNTJkZTc2YjU0YTIxOGQwN2RkZTIzYzY1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2F0623"/>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uiPriority w:val="99"/>
    <w:rPr>
      <w:color w:val="0000FF" w:themeColor="hyperlink"/>
      <w:u w:val="single"/>
      <w14:textFill>
        <w14:solidFill>
          <w14:schemeClr w14:val="hlink"/>
        </w14:solidFill>
      </w14:textFill>
    </w:rPr>
  </w:style>
  <w:style w:type="character" w:customStyle="1" w:styleId="15">
    <w:name w:val="页脚 字符"/>
    <w:link w:val="8"/>
    <w:qFormat/>
    <w:uiPriority w:val="0"/>
    <w:rPr>
      <w:rFonts w:ascii="Calibri" w:hAnsi="Calibri" w:eastAsia="宋体" w:cs="Times New Roman"/>
      <w:kern w:val="2"/>
      <w:sz w:val="18"/>
      <w:szCs w:val="18"/>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_Style 8"/>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Words>
  <Characters>529</Characters>
  <Lines>82</Lines>
  <Paragraphs>23</Paragraphs>
  <TotalTime>10</TotalTime>
  <ScaleCrop>false</ScaleCrop>
  <LinksUpToDate>false</LinksUpToDate>
  <CharactersWithSpaces>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Administrator</cp:lastModifiedBy>
  <cp:lastPrinted>2018-02-09T07:39:00Z</cp:lastPrinted>
  <dcterms:modified xsi:type="dcterms:W3CDTF">2025-04-30T08:05:11Z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EF7E255193C14E85AD5D282B939CFD45_13</vt:lpwstr>
  </property>
  <property fmtid="{D5CDD505-2E9C-101B-9397-08002B2CF9AE}" pid="4" name="KSOTemplateDocerSaveRecord">
    <vt:lpwstr>eyJoZGlkIjoiMzU2NmI3MjI5ZGZjYTI3ZTc5NWJkNTU5NmI5MDIzZjgiLCJ1c2VySWQiOiI5ODMzMjAxOTAifQ==</vt:lpwstr>
  </property>
</Properties>
</file>